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F589" w14:textId="3DC506F4" w:rsidR="008967B0" w:rsidRDefault="00225930" w:rsidP="0075108E">
      <w:pPr>
        <w:pStyle w:val="Heading2"/>
        <w:rPr>
          <w:rFonts w:ascii="ITC Stone Sans Std Medium" w:hAnsi="ITC Stone Sans Std Medium"/>
          <w:b/>
          <w:sz w:val="28"/>
          <w:szCs w:val="28"/>
        </w:rPr>
      </w:pPr>
      <w:bookmarkStart w:id="0" w:name="_Toc343239823"/>
      <w:bookmarkStart w:id="1" w:name="_Toc343239948"/>
      <w:r w:rsidRPr="00225930">
        <w:rPr>
          <w:rFonts w:ascii="ITC Stone Sans Std Medium" w:hAnsi="ITC Stone Sans Std Medium"/>
          <w:b/>
          <w:sz w:val="28"/>
          <w:szCs w:val="28"/>
        </w:rPr>
        <w:t xml:space="preserve">Guidance for Completing the </w:t>
      </w:r>
      <w:r w:rsidR="008967B0" w:rsidRPr="00225930">
        <w:rPr>
          <w:rFonts w:ascii="ITC Stone Sans Std Medium" w:hAnsi="ITC Stone Sans Std Medium"/>
          <w:b/>
          <w:sz w:val="28"/>
          <w:szCs w:val="28"/>
        </w:rPr>
        <w:t>Financial Analysis</w:t>
      </w:r>
      <w:r w:rsidRPr="00225930">
        <w:rPr>
          <w:rFonts w:ascii="ITC Stone Sans Std Medium" w:hAnsi="ITC Stone Sans Std Medium"/>
          <w:b/>
          <w:sz w:val="28"/>
          <w:szCs w:val="28"/>
        </w:rPr>
        <w:t xml:space="preserve"> Worksheet</w:t>
      </w:r>
      <w:r w:rsidR="007406CF">
        <w:rPr>
          <w:rFonts w:ascii="ITC Stone Sans Std Medium" w:hAnsi="ITC Stone Sans Std Medium"/>
          <w:b/>
          <w:sz w:val="28"/>
          <w:szCs w:val="28"/>
        </w:rPr>
        <w:t xml:space="preserve"> </w:t>
      </w:r>
      <w:r w:rsidR="007406CF" w:rsidRPr="007406CF">
        <w:rPr>
          <w:rFonts w:ascii="ITC Stone Sans Std Medium" w:hAnsi="ITC Stone Sans Std Medium"/>
          <w:b/>
          <w:sz w:val="18"/>
          <w:szCs w:val="18"/>
        </w:rPr>
        <w:t>rev. 6.26.17</w:t>
      </w:r>
    </w:p>
    <w:p w14:paraId="51734B88" w14:textId="77777777" w:rsidR="00225930" w:rsidRPr="00225930" w:rsidRDefault="00225930" w:rsidP="00225930"/>
    <w:p w14:paraId="4F25742D" w14:textId="77777777" w:rsidR="008967B0" w:rsidRDefault="008967B0" w:rsidP="00AC515B">
      <w:pPr>
        <w:pStyle w:val="Heading2"/>
        <w:rPr>
          <w:rFonts w:ascii="ITC Stone Sans Std Medium" w:hAnsi="ITC Stone Sans Std Medium"/>
          <w:sz w:val="22"/>
          <w:szCs w:val="22"/>
        </w:rPr>
      </w:pPr>
      <w:r w:rsidRPr="00225930">
        <w:rPr>
          <w:rFonts w:ascii="ITC Stone Sans Std Medium" w:hAnsi="ITC Stone Sans Std Medium"/>
          <w:bCs/>
          <w:sz w:val="22"/>
          <w:szCs w:val="22"/>
        </w:rPr>
        <w:t>A</w:t>
      </w:r>
      <w:r w:rsidR="00A72A1D" w:rsidRPr="00225930">
        <w:rPr>
          <w:rFonts w:ascii="ITC Stone Sans Std Medium" w:hAnsi="ITC Stone Sans Std Medium"/>
          <w:sz w:val="22"/>
          <w:szCs w:val="22"/>
        </w:rPr>
        <w:t xml:space="preserve"> major factor in determining whether</w:t>
      </w:r>
      <w:r w:rsidRPr="00225930">
        <w:rPr>
          <w:rFonts w:ascii="ITC Stone Sans Std Medium" w:hAnsi="ITC Stone Sans Std Medium"/>
          <w:sz w:val="22"/>
          <w:szCs w:val="22"/>
        </w:rPr>
        <w:t xml:space="preserve"> or not a proposed program </w:t>
      </w:r>
      <w:r w:rsidR="007377CB" w:rsidRPr="00225930">
        <w:rPr>
          <w:rFonts w:ascii="ITC Stone Sans Std Medium" w:hAnsi="ITC Stone Sans Std Medium"/>
          <w:sz w:val="22"/>
          <w:szCs w:val="22"/>
        </w:rPr>
        <w:t xml:space="preserve">or new location(s) </w:t>
      </w:r>
      <w:r w:rsidRPr="00225930">
        <w:rPr>
          <w:rFonts w:ascii="ITC Stone Sans Std Medium" w:hAnsi="ITC Stone Sans Std Medium"/>
          <w:sz w:val="22"/>
          <w:szCs w:val="22"/>
        </w:rPr>
        <w:t xml:space="preserve">is viable is </w:t>
      </w:r>
      <w:r w:rsidR="007377CB" w:rsidRPr="00225930">
        <w:rPr>
          <w:rFonts w:ascii="ITC Stone Sans Std Medium" w:hAnsi="ITC Stone Sans Std Medium"/>
          <w:sz w:val="22"/>
          <w:szCs w:val="22"/>
        </w:rPr>
        <w:t>f</w:t>
      </w:r>
      <w:r w:rsidRPr="00225930">
        <w:rPr>
          <w:rFonts w:ascii="ITC Stone Sans Std Medium" w:hAnsi="ITC Stone Sans Std Medium"/>
          <w:sz w:val="22"/>
          <w:szCs w:val="22"/>
        </w:rPr>
        <w:t xml:space="preserve">inancial feasibility.  The </w:t>
      </w:r>
      <w:r w:rsidR="00225930">
        <w:rPr>
          <w:rFonts w:ascii="ITC Stone Sans Std Medium" w:hAnsi="ITC Stone Sans Std Medium"/>
          <w:sz w:val="22"/>
          <w:szCs w:val="22"/>
        </w:rPr>
        <w:t>accompanying</w:t>
      </w:r>
      <w:r w:rsidR="00225930" w:rsidRPr="00225930">
        <w:rPr>
          <w:rFonts w:ascii="ITC Stone Sans Std Medium" w:hAnsi="ITC Stone Sans Std Medium"/>
          <w:sz w:val="22"/>
          <w:szCs w:val="22"/>
        </w:rPr>
        <w:t xml:space="preserve"> </w:t>
      </w:r>
      <w:r w:rsidRPr="00225930">
        <w:rPr>
          <w:rFonts w:ascii="ITC Stone Sans Std Medium" w:hAnsi="ITC Stone Sans Std Medium"/>
          <w:sz w:val="22"/>
          <w:szCs w:val="22"/>
        </w:rPr>
        <w:t>Excel spreadsheet contains tables</w:t>
      </w:r>
      <w:r w:rsidR="00225930">
        <w:rPr>
          <w:rFonts w:ascii="ITC Stone Sans Std Medium" w:hAnsi="ITC Stone Sans Std Medium"/>
          <w:sz w:val="22"/>
          <w:szCs w:val="22"/>
        </w:rPr>
        <w:t xml:space="preserve"> that</w:t>
      </w:r>
      <w:r w:rsidRPr="00225930">
        <w:rPr>
          <w:rFonts w:ascii="ITC Stone Sans Std Medium" w:hAnsi="ITC Stone Sans Std Medium"/>
          <w:sz w:val="22"/>
          <w:szCs w:val="22"/>
        </w:rPr>
        <w:t xml:space="preserve"> can be pasted into the proposal document </w:t>
      </w:r>
      <w:r w:rsidR="00C706BD" w:rsidRPr="00225930">
        <w:rPr>
          <w:rFonts w:ascii="ITC Stone Sans Std Medium" w:hAnsi="ITC Stone Sans Std Medium"/>
          <w:sz w:val="22"/>
          <w:szCs w:val="22"/>
        </w:rPr>
        <w:t>when</w:t>
      </w:r>
      <w:r w:rsidRPr="00225930">
        <w:rPr>
          <w:rFonts w:ascii="ITC Stone Sans Std Medium" w:hAnsi="ITC Stone Sans Std Medium"/>
          <w:sz w:val="22"/>
          <w:szCs w:val="22"/>
        </w:rPr>
        <w:t xml:space="preserve"> completed.  Both your college’s Finance Officer and the University Budget Office are available to assist you with this spreadsheet.  </w:t>
      </w:r>
    </w:p>
    <w:p w14:paraId="6AE6BF08" w14:textId="77777777" w:rsidR="00225930" w:rsidRPr="00225930" w:rsidRDefault="00225930" w:rsidP="00225930"/>
    <w:p w14:paraId="313B8A32" w14:textId="77777777" w:rsidR="008967B0" w:rsidRPr="00631133" w:rsidRDefault="008967B0" w:rsidP="008967B0">
      <w:pPr>
        <w:pStyle w:val="Heading4"/>
        <w:jc w:val="left"/>
        <w:rPr>
          <w:rFonts w:ascii="ITC Stone Sans Std Medium" w:hAnsi="ITC Stone Sans Std Medium"/>
          <w:sz w:val="22"/>
          <w:szCs w:val="22"/>
        </w:rPr>
      </w:pPr>
      <w:r w:rsidRPr="00631133">
        <w:rPr>
          <w:rFonts w:ascii="ITC Stone Sans Std Medium" w:hAnsi="ITC Stone Sans Std Medium"/>
          <w:sz w:val="22"/>
          <w:szCs w:val="22"/>
        </w:rPr>
        <w:t xml:space="preserve">Enrollment Projections – Table </w:t>
      </w:r>
      <w:r w:rsidR="00BC483C" w:rsidRPr="00631133">
        <w:rPr>
          <w:rFonts w:ascii="ITC Stone Sans Std Medium" w:hAnsi="ITC Stone Sans Std Medium"/>
          <w:sz w:val="22"/>
          <w:szCs w:val="22"/>
        </w:rPr>
        <w:t>1</w:t>
      </w:r>
    </w:p>
    <w:p w14:paraId="54317668" w14:textId="77777777" w:rsidR="003C3E22" w:rsidRPr="00631133" w:rsidRDefault="00D36609" w:rsidP="003C3E22">
      <w:pPr>
        <w:rPr>
          <w:rFonts w:ascii="ITC Stone Sans Std Medium" w:hAnsi="ITC Stone Sans Std Medium"/>
          <w:sz w:val="22"/>
          <w:szCs w:val="22"/>
        </w:rPr>
      </w:pPr>
      <w:r w:rsidRPr="00631133">
        <w:rPr>
          <w:rFonts w:ascii="ITC Stone Sans Std Medium" w:hAnsi="ITC Stone Sans Std Medium"/>
          <w:sz w:val="22"/>
          <w:szCs w:val="22"/>
        </w:rPr>
        <w:t xml:space="preserve">Use Table </w:t>
      </w:r>
      <w:r w:rsidR="00BC483C" w:rsidRPr="00631133">
        <w:rPr>
          <w:rFonts w:ascii="ITC Stone Sans Std Medium" w:hAnsi="ITC Stone Sans Std Medium"/>
          <w:sz w:val="22"/>
          <w:szCs w:val="22"/>
        </w:rPr>
        <w:t xml:space="preserve">1 </w:t>
      </w:r>
      <w:r w:rsidRPr="00631133">
        <w:rPr>
          <w:rFonts w:ascii="ITC Stone Sans Std Medium" w:hAnsi="ITC Stone Sans Std Medium"/>
          <w:sz w:val="22"/>
          <w:szCs w:val="22"/>
        </w:rPr>
        <w:t>of the spreadsheet to report enrollment projections</w:t>
      </w:r>
      <w:r w:rsidR="00BC483C" w:rsidRPr="00631133">
        <w:rPr>
          <w:rFonts w:ascii="ITC Stone Sans Std Medium" w:hAnsi="ITC Stone Sans Std Medium"/>
          <w:sz w:val="22"/>
          <w:szCs w:val="22"/>
        </w:rPr>
        <w:t xml:space="preserve"> for the program</w:t>
      </w:r>
      <w:r w:rsidRPr="00631133">
        <w:rPr>
          <w:rFonts w:ascii="ITC Stone Sans Std Medium" w:hAnsi="ITC Stone Sans Std Medium"/>
          <w:sz w:val="22"/>
          <w:szCs w:val="22"/>
        </w:rPr>
        <w:t xml:space="preserve">.  </w:t>
      </w:r>
      <w:r w:rsidR="008967B0" w:rsidRPr="00631133">
        <w:rPr>
          <w:rFonts w:ascii="ITC Stone Sans Std Medium" w:hAnsi="ITC Stone Sans Std Medium"/>
          <w:sz w:val="22"/>
          <w:szCs w:val="22"/>
        </w:rPr>
        <w:t xml:space="preserve">  </w:t>
      </w:r>
      <w:r w:rsidR="00592594" w:rsidRPr="00631133">
        <w:rPr>
          <w:rFonts w:ascii="ITC Stone Sans Std Medium" w:hAnsi="ITC Stone Sans Std Medium"/>
          <w:sz w:val="22"/>
          <w:szCs w:val="22"/>
        </w:rPr>
        <w:t xml:space="preserve">Student headcount (HDC) and </w:t>
      </w:r>
      <w:r w:rsidR="00BD273A" w:rsidRPr="00631133">
        <w:rPr>
          <w:rFonts w:ascii="ITC Stone Sans Std Medium" w:hAnsi="ITC Stone Sans Std Medium"/>
          <w:sz w:val="22"/>
          <w:szCs w:val="22"/>
        </w:rPr>
        <w:t>AA</w:t>
      </w:r>
      <w:r w:rsidR="00592594" w:rsidRPr="00631133">
        <w:rPr>
          <w:rFonts w:ascii="ITC Stone Sans Std Medium" w:hAnsi="ITC Stone Sans Std Medium"/>
          <w:sz w:val="22"/>
          <w:szCs w:val="22"/>
        </w:rPr>
        <w:t xml:space="preserve">FTE </w:t>
      </w:r>
      <w:r w:rsidR="00BD273A" w:rsidRPr="00631133">
        <w:rPr>
          <w:rFonts w:ascii="ITC Stone Sans Std Medium" w:hAnsi="ITC Stone Sans Std Medium"/>
          <w:sz w:val="22"/>
          <w:szCs w:val="22"/>
        </w:rPr>
        <w:t xml:space="preserve">(annual average full time equivalent) from Table 1 </w:t>
      </w:r>
      <w:r w:rsidR="00592594" w:rsidRPr="00631133">
        <w:rPr>
          <w:rFonts w:ascii="ITC Stone Sans Std Medium" w:hAnsi="ITC Stone Sans Std Medium"/>
          <w:sz w:val="22"/>
          <w:szCs w:val="22"/>
        </w:rPr>
        <w:t>wi</w:t>
      </w:r>
      <w:r w:rsidR="00BD273A" w:rsidRPr="00631133">
        <w:rPr>
          <w:rFonts w:ascii="ITC Stone Sans Std Medium" w:hAnsi="ITC Stone Sans Std Medium"/>
          <w:sz w:val="22"/>
          <w:szCs w:val="22"/>
        </w:rPr>
        <w:t>ll automatically transfer to</w:t>
      </w:r>
      <w:r w:rsidR="00592594" w:rsidRPr="00631133">
        <w:rPr>
          <w:rFonts w:ascii="ITC Stone Sans Std Medium" w:hAnsi="ITC Stone Sans Std Medium"/>
          <w:sz w:val="22"/>
          <w:szCs w:val="22"/>
        </w:rPr>
        <w:t xml:space="preserve"> Table 2 - Cost and Revenue Projections. </w:t>
      </w:r>
      <w:r w:rsidR="0075108E" w:rsidRPr="00631133">
        <w:rPr>
          <w:rFonts w:ascii="ITC Stone Sans Std Medium" w:hAnsi="ITC Stone Sans Std Medium"/>
          <w:sz w:val="22"/>
          <w:szCs w:val="22"/>
        </w:rPr>
        <w:t xml:space="preserve">  Enrollment projections should be grounded in the demand analysis and justified in the budget narrative.</w:t>
      </w:r>
    </w:p>
    <w:p w14:paraId="0898503F" w14:textId="77777777" w:rsidR="003C3E22" w:rsidRPr="00631133" w:rsidRDefault="003C3E22" w:rsidP="003C3E22">
      <w:pPr>
        <w:rPr>
          <w:rFonts w:ascii="ITC Stone Sans Std Medium" w:hAnsi="ITC Stone Sans Std Medium"/>
          <w:sz w:val="22"/>
          <w:szCs w:val="22"/>
        </w:rPr>
      </w:pPr>
    </w:p>
    <w:p w14:paraId="564B39E8" w14:textId="77777777" w:rsidR="00D36609" w:rsidRPr="00631133" w:rsidRDefault="00BD273A" w:rsidP="003C3E22">
      <w:pPr>
        <w:rPr>
          <w:rFonts w:ascii="ITC Stone Sans Std Medium" w:hAnsi="ITC Stone Sans Std Medium"/>
          <w:sz w:val="22"/>
          <w:szCs w:val="22"/>
        </w:rPr>
      </w:pPr>
      <w:r w:rsidRPr="00631133">
        <w:rPr>
          <w:rFonts w:ascii="ITC Stone Sans Std Medium" w:hAnsi="ITC Stone Sans Std Medium"/>
          <w:sz w:val="22"/>
          <w:szCs w:val="22"/>
        </w:rPr>
        <w:t xml:space="preserve">Cost per student AAFTE will be considered when evaluating new programs. </w:t>
      </w:r>
      <w:r w:rsidR="00591D8C" w:rsidRPr="00631133">
        <w:rPr>
          <w:rFonts w:ascii="ITC Stone Sans Std Medium" w:hAnsi="ITC Stone Sans Std Medium"/>
          <w:sz w:val="22"/>
          <w:szCs w:val="22"/>
        </w:rPr>
        <w:t>The State</w:t>
      </w:r>
      <w:r w:rsidR="00D36609" w:rsidRPr="00631133">
        <w:rPr>
          <w:rFonts w:ascii="ITC Stone Sans Std Medium" w:hAnsi="ITC Stone Sans Std Medium"/>
          <w:sz w:val="22"/>
          <w:szCs w:val="22"/>
        </w:rPr>
        <w:t xml:space="preserve"> Office of Financial Management (OFM)</w:t>
      </w:r>
      <w:r w:rsidR="00591D8C" w:rsidRPr="00631133">
        <w:rPr>
          <w:rFonts w:ascii="ITC Stone Sans Std Medium" w:hAnsi="ITC Stone Sans Std Medium"/>
          <w:sz w:val="22"/>
          <w:szCs w:val="22"/>
        </w:rPr>
        <w:t xml:space="preserve"> </w:t>
      </w:r>
      <w:r w:rsidR="00BC483C" w:rsidRPr="00631133">
        <w:rPr>
          <w:rFonts w:ascii="ITC Stone Sans Std Medium" w:hAnsi="ITC Stone Sans Std Medium"/>
          <w:sz w:val="22"/>
          <w:szCs w:val="22"/>
        </w:rPr>
        <w:t xml:space="preserve">publishes </w:t>
      </w:r>
      <w:r w:rsidR="00591D8C" w:rsidRPr="00631133">
        <w:rPr>
          <w:rFonts w:ascii="ITC Stone Sans Std Medium" w:hAnsi="ITC Stone Sans Std Medium"/>
          <w:sz w:val="22"/>
          <w:szCs w:val="22"/>
        </w:rPr>
        <w:t xml:space="preserve">an annual higher education expenditure study that </w:t>
      </w:r>
      <w:r w:rsidR="003C3E22" w:rsidRPr="00631133">
        <w:rPr>
          <w:rFonts w:ascii="ITC Stone Sans Std Medium" w:hAnsi="ITC Stone Sans Std Medium"/>
          <w:sz w:val="22"/>
          <w:szCs w:val="22"/>
        </w:rPr>
        <w:t>re</w:t>
      </w:r>
      <w:r w:rsidR="00C706BD" w:rsidRPr="00631133">
        <w:rPr>
          <w:rFonts w:ascii="ITC Stone Sans Std Medium" w:hAnsi="ITC Stone Sans Std Medium"/>
          <w:sz w:val="22"/>
          <w:szCs w:val="22"/>
        </w:rPr>
        <w:t>ports</w:t>
      </w:r>
      <w:r w:rsidR="003C3E22" w:rsidRPr="00631133">
        <w:rPr>
          <w:rFonts w:ascii="ITC Stone Sans Std Medium" w:hAnsi="ITC Stone Sans Std Medium"/>
          <w:sz w:val="22"/>
          <w:szCs w:val="22"/>
        </w:rPr>
        <w:t xml:space="preserve"> </w:t>
      </w:r>
      <w:r w:rsidR="00D36609" w:rsidRPr="00631133">
        <w:rPr>
          <w:rFonts w:ascii="ITC Stone Sans Std Medium" w:hAnsi="ITC Stone Sans Std Medium"/>
          <w:sz w:val="22"/>
          <w:szCs w:val="22"/>
        </w:rPr>
        <w:t>per AAFTE costs</w:t>
      </w:r>
      <w:r w:rsidR="00591D8C" w:rsidRPr="00631133">
        <w:rPr>
          <w:rFonts w:ascii="ITC Stone Sans Std Medium" w:hAnsi="ITC Stone Sans Std Medium"/>
          <w:sz w:val="22"/>
          <w:szCs w:val="22"/>
        </w:rPr>
        <w:t xml:space="preserve"> for </w:t>
      </w:r>
      <w:r w:rsidR="00D36609" w:rsidRPr="00631133">
        <w:rPr>
          <w:rFonts w:ascii="ITC Stone Sans Std Medium" w:hAnsi="ITC Stone Sans Std Medium"/>
          <w:sz w:val="22"/>
          <w:szCs w:val="22"/>
        </w:rPr>
        <w:t xml:space="preserve">state supported </w:t>
      </w:r>
      <w:r w:rsidR="00591D8C" w:rsidRPr="00631133">
        <w:rPr>
          <w:rFonts w:ascii="ITC Stone Sans Std Medium" w:hAnsi="ITC Stone Sans Std Medium"/>
          <w:sz w:val="22"/>
          <w:szCs w:val="22"/>
        </w:rPr>
        <w:t xml:space="preserve">undergraduate and graduate students. Results of the study can be found here: </w:t>
      </w:r>
      <w:hyperlink r:id="rId8" w:history="1">
        <w:r w:rsidR="00D36609" w:rsidRPr="00631133">
          <w:rPr>
            <w:rStyle w:val="Hyperlink"/>
            <w:rFonts w:ascii="ITC Stone Sans Std Medium" w:hAnsi="ITC Stone Sans Std Medium"/>
            <w:sz w:val="22"/>
            <w:szCs w:val="22"/>
          </w:rPr>
          <w:t>OFM Expenditure Study</w:t>
        </w:r>
      </w:hyperlink>
      <w:r w:rsidR="00D36609" w:rsidRPr="00631133">
        <w:rPr>
          <w:rFonts w:ascii="ITC Stone Sans Std Medium" w:hAnsi="ITC Stone Sans Std Medium"/>
          <w:sz w:val="22"/>
          <w:szCs w:val="22"/>
        </w:rPr>
        <w:t xml:space="preserve">. The OFM study may be used as a </w:t>
      </w:r>
      <w:r w:rsidR="00C706BD" w:rsidRPr="00631133">
        <w:rPr>
          <w:rFonts w:ascii="ITC Stone Sans Std Medium" w:hAnsi="ITC Stone Sans Std Medium"/>
          <w:sz w:val="22"/>
          <w:szCs w:val="22"/>
        </w:rPr>
        <w:t>guideline when estimating costs. B</w:t>
      </w:r>
      <w:r w:rsidR="00D36609" w:rsidRPr="00631133">
        <w:rPr>
          <w:rFonts w:ascii="ITC Stone Sans Std Medium" w:hAnsi="ITC Stone Sans Std Medium"/>
          <w:sz w:val="22"/>
          <w:szCs w:val="22"/>
        </w:rPr>
        <w:t xml:space="preserve">ecause the amounts reported are overall </w:t>
      </w:r>
      <w:r w:rsidR="003C3E22" w:rsidRPr="00631133">
        <w:rPr>
          <w:rFonts w:ascii="ITC Stone Sans Std Medium" w:hAnsi="ITC Stone Sans Std Medium"/>
          <w:sz w:val="22"/>
          <w:szCs w:val="22"/>
        </w:rPr>
        <w:t>averages for all programs</w:t>
      </w:r>
      <w:r w:rsidR="00D36609" w:rsidRPr="00631133">
        <w:rPr>
          <w:rFonts w:ascii="ITC Stone Sans Std Medium" w:hAnsi="ITC Stone Sans Std Medium"/>
          <w:sz w:val="22"/>
          <w:szCs w:val="22"/>
        </w:rPr>
        <w:t xml:space="preserve"> </w:t>
      </w:r>
      <w:r w:rsidR="003C3E22" w:rsidRPr="00631133">
        <w:rPr>
          <w:rFonts w:ascii="ITC Stone Sans Std Medium" w:hAnsi="ITC Stone Sans Std Medium"/>
          <w:sz w:val="22"/>
          <w:szCs w:val="22"/>
        </w:rPr>
        <w:t>b</w:t>
      </w:r>
      <w:r w:rsidR="00D36609" w:rsidRPr="00631133">
        <w:rPr>
          <w:rFonts w:ascii="ITC Stone Sans Std Medium" w:hAnsi="ITC Stone Sans Std Medium"/>
          <w:sz w:val="22"/>
          <w:szCs w:val="22"/>
        </w:rPr>
        <w:t xml:space="preserve">ear in mind that </w:t>
      </w:r>
      <w:r w:rsidR="00533188" w:rsidRPr="00631133">
        <w:rPr>
          <w:rFonts w:ascii="ITC Stone Sans Std Medium" w:hAnsi="ITC Stone Sans Std Medium"/>
          <w:sz w:val="22"/>
          <w:szCs w:val="22"/>
        </w:rPr>
        <w:t xml:space="preserve">per AAFTE costs for </w:t>
      </w:r>
      <w:r w:rsidR="00D36609" w:rsidRPr="00631133">
        <w:rPr>
          <w:rFonts w:ascii="ITC Stone Sans Std Medium" w:hAnsi="ITC Stone Sans Std Medium"/>
          <w:sz w:val="22"/>
          <w:szCs w:val="22"/>
        </w:rPr>
        <w:t>specific disciplines will be higher or lower than reported</w:t>
      </w:r>
      <w:r w:rsidR="003C3E22" w:rsidRPr="00631133">
        <w:rPr>
          <w:rFonts w:ascii="ITC Stone Sans Std Medium" w:hAnsi="ITC Stone Sans Std Medium"/>
          <w:sz w:val="22"/>
          <w:szCs w:val="22"/>
        </w:rPr>
        <w:t xml:space="preserve"> by OFM.</w:t>
      </w:r>
      <w:r w:rsidR="00D36609" w:rsidRPr="00631133">
        <w:rPr>
          <w:rFonts w:ascii="ITC Stone Sans Std Medium" w:hAnsi="ITC Stone Sans Std Medium"/>
          <w:sz w:val="22"/>
          <w:szCs w:val="22"/>
        </w:rPr>
        <w:t xml:space="preserve">  </w:t>
      </w:r>
    </w:p>
    <w:p w14:paraId="1EF95BE4" w14:textId="77777777" w:rsidR="008967B0" w:rsidRPr="00631133" w:rsidRDefault="008967B0" w:rsidP="008967B0">
      <w:pPr>
        <w:pStyle w:val="xl23"/>
        <w:pBdr>
          <w:bottom w:val="none" w:sz="0" w:space="0" w:color="auto"/>
        </w:pBdr>
        <w:spacing w:before="0" w:beforeAutospacing="0" w:after="0" w:afterAutospacing="0"/>
        <w:rPr>
          <w:rFonts w:ascii="ITC Stone Sans Std Medium" w:hAnsi="ITC Stone Sans Std Medium" w:cs="Times New Roman"/>
          <w:sz w:val="22"/>
          <w:szCs w:val="22"/>
        </w:rPr>
      </w:pPr>
      <w:bookmarkStart w:id="2" w:name="_GoBack"/>
      <w:bookmarkEnd w:id="2"/>
    </w:p>
    <w:p w14:paraId="5F46EECD" w14:textId="77777777" w:rsidR="008967B0" w:rsidRPr="00631133" w:rsidRDefault="008967B0" w:rsidP="008967B0">
      <w:pPr>
        <w:rPr>
          <w:rFonts w:ascii="ITC Stone Sans Std Medium" w:hAnsi="ITC Stone Sans Std Medium"/>
          <w:b/>
          <w:bCs/>
          <w:sz w:val="22"/>
          <w:szCs w:val="22"/>
        </w:rPr>
      </w:pPr>
      <w:r w:rsidRPr="00631133">
        <w:rPr>
          <w:rFonts w:ascii="ITC Stone Sans Std Medium" w:hAnsi="ITC Stone Sans Std Medium"/>
          <w:b/>
          <w:bCs/>
          <w:sz w:val="22"/>
          <w:szCs w:val="22"/>
        </w:rPr>
        <w:t xml:space="preserve">Cost </w:t>
      </w:r>
      <w:r w:rsidR="00BC483C" w:rsidRPr="00631133">
        <w:rPr>
          <w:rFonts w:ascii="ITC Stone Sans Std Medium" w:hAnsi="ITC Stone Sans Std Medium"/>
          <w:b/>
          <w:bCs/>
          <w:sz w:val="22"/>
          <w:szCs w:val="22"/>
        </w:rPr>
        <w:t xml:space="preserve">and Revenue </w:t>
      </w:r>
      <w:r w:rsidRPr="00631133">
        <w:rPr>
          <w:rFonts w:ascii="ITC Stone Sans Std Medium" w:hAnsi="ITC Stone Sans Std Medium"/>
          <w:b/>
          <w:bCs/>
          <w:sz w:val="22"/>
          <w:szCs w:val="22"/>
        </w:rPr>
        <w:t xml:space="preserve">Projections – Table </w:t>
      </w:r>
      <w:r w:rsidR="00BC483C" w:rsidRPr="00631133">
        <w:rPr>
          <w:rFonts w:ascii="ITC Stone Sans Std Medium" w:hAnsi="ITC Stone Sans Std Medium"/>
          <w:b/>
          <w:bCs/>
          <w:sz w:val="22"/>
          <w:szCs w:val="22"/>
        </w:rPr>
        <w:t>2</w:t>
      </w:r>
    </w:p>
    <w:p w14:paraId="3F44186C" w14:textId="77777777" w:rsidR="008967B0" w:rsidRPr="00631133" w:rsidRDefault="008967B0" w:rsidP="008967B0">
      <w:pPr>
        <w:rPr>
          <w:rFonts w:ascii="ITC Stone Sans Std Medium" w:hAnsi="ITC Stone Sans Std Medium"/>
          <w:sz w:val="22"/>
          <w:szCs w:val="22"/>
        </w:rPr>
      </w:pPr>
      <w:r w:rsidRPr="00631133">
        <w:rPr>
          <w:rFonts w:ascii="ITC Stone Sans Std Medium" w:hAnsi="ITC Stone Sans Std Medium"/>
          <w:sz w:val="22"/>
          <w:szCs w:val="22"/>
        </w:rPr>
        <w:t xml:space="preserve">Many of the expenses involved in creating new programs and/or extending existing programs to new location(s) can be absorbed </w:t>
      </w:r>
      <w:r w:rsidR="003C3E22" w:rsidRPr="00631133">
        <w:rPr>
          <w:rFonts w:ascii="ITC Stone Sans Std Medium" w:hAnsi="ITC Stone Sans Std Medium"/>
          <w:sz w:val="22"/>
          <w:szCs w:val="22"/>
        </w:rPr>
        <w:t>within existing resources</w:t>
      </w:r>
      <w:r w:rsidRPr="00631133">
        <w:rPr>
          <w:rFonts w:ascii="ITC Stone Sans Std Medium" w:hAnsi="ITC Stone Sans Std Medium"/>
          <w:sz w:val="22"/>
          <w:szCs w:val="22"/>
        </w:rPr>
        <w:t xml:space="preserve">.  However, a new program </w:t>
      </w:r>
      <w:r w:rsidR="00A17664" w:rsidRPr="00631133">
        <w:rPr>
          <w:rFonts w:ascii="ITC Stone Sans Std Medium" w:hAnsi="ITC Stone Sans Std Medium"/>
          <w:sz w:val="22"/>
          <w:szCs w:val="22"/>
        </w:rPr>
        <w:t xml:space="preserve">can </w:t>
      </w:r>
      <w:r w:rsidRPr="00631133">
        <w:rPr>
          <w:rFonts w:ascii="ITC Stone Sans Std Medium" w:hAnsi="ITC Stone Sans Std Medium"/>
          <w:sz w:val="22"/>
          <w:szCs w:val="22"/>
        </w:rPr>
        <w:t xml:space="preserve">add fixed and variable costs that </w:t>
      </w:r>
      <w:r w:rsidR="003C3E22" w:rsidRPr="00631133">
        <w:rPr>
          <w:rFonts w:ascii="ITC Stone Sans Std Medium" w:hAnsi="ITC Stone Sans Std Medium"/>
          <w:sz w:val="22"/>
          <w:szCs w:val="22"/>
        </w:rPr>
        <w:t>require new resources</w:t>
      </w:r>
      <w:r w:rsidRPr="00631133">
        <w:rPr>
          <w:rFonts w:ascii="ITC Stone Sans Std Medium" w:hAnsi="ITC Stone Sans Std Medium"/>
          <w:sz w:val="22"/>
          <w:szCs w:val="22"/>
        </w:rPr>
        <w:t>.</w:t>
      </w:r>
      <w:r w:rsidRPr="00631133" w:rsidDel="009F6A9C">
        <w:rPr>
          <w:rFonts w:ascii="ITC Stone Sans Std Medium" w:hAnsi="ITC Stone Sans Std Medium"/>
          <w:sz w:val="22"/>
          <w:szCs w:val="22"/>
        </w:rPr>
        <w:t xml:space="preserve"> </w:t>
      </w:r>
    </w:p>
    <w:p w14:paraId="3269BAEE" w14:textId="77777777" w:rsidR="008967B0" w:rsidRPr="00631133" w:rsidRDefault="008967B0" w:rsidP="008967B0">
      <w:pPr>
        <w:rPr>
          <w:rFonts w:ascii="ITC Stone Sans Std Medium" w:hAnsi="ITC Stone Sans Std Medium"/>
          <w:b/>
          <w:bCs/>
          <w:sz w:val="22"/>
          <w:szCs w:val="22"/>
        </w:rPr>
      </w:pPr>
    </w:p>
    <w:p w14:paraId="1D35122E" w14:textId="77777777" w:rsidR="00C706BD" w:rsidRPr="00631133" w:rsidRDefault="008967B0" w:rsidP="008967B0">
      <w:pPr>
        <w:rPr>
          <w:rFonts w:ascii="ITC Stone Sans Std Medium" w:hAnsi="ITC Stone Sans Std Medium"/>
          <w:sz w:val="22"/>
          <w:szCs w:val="22"/>
        </w:rPr>
      </w:pPr>
      <w:r w:rsidRPr="00631133">
        <w:rPr>
          <w:rFonts w:ascii="ITC Stone Sans Std Medium" w:hAnsi="ITC Stone Sans Std Medium"/>
          <w:sz w:val="22"/>
          <w:szCs w:val="22"/>
        </w:rPr>
        <w:t xml:space="preserve">If you </w:t>
      </w:r>
      <w:r w:rsidR="00BD273A" w:rsidRPr="00631133">
        <w:rPr>
          <w:rFonts w:ascii="ITC Stone Sans Std Medium" w:hAnsi="ITC Stone Sans Std Medium"/>
          <w:sz w:val="22"/>
          <w:szCs w:val="22"/>
        </w:rPr>
        <w:t>anticipate</w:t>
      </w:r>
      <w:r w:rsidRPr="00631133">
        <w:rPr>
          <w:rFonts w:ascii="ITC Stone Sans Std Medium" w:hAnsi="ITC Stone Sans Std Medium"/>
          <w:sz w:val="22"/>
          <w:szCs w:val="22"/>
        </w:rPr>
        <w:t xml:space="preserve"> similar kinds and sizes of courses and similar methods of delivery as an existing program, you may be able to project the costs of the new program fairly closely by determining the cost of the existing program.  If </w:t>
      </w:r>
      <w:r w:rsidR="003C3E22" w:rsidRPr="00631133">
        <w:rPr>
          <w:rFonts w:ascii="ITC Stone Sans Std Medium" w:hAnsi="ITC Stone Sans Std Medium"/>
          <w:sz w:val="22"/>
          <w:szCs w:val="22"/>
        </w:rPr>
        <w:t xml:space="preserve">the new program will </w:t>
      </w:r>
      <w:r w:rsidRPr="00631133">
        <w:rPr>
          <w:rFonts w:ascii="ITC Stone Sans Std Medium" w:hAnsi="ITC Stone Sans Std Medium"/>
          <w:sz w:val="22"/>
          <w:szCs w:val="22"/>
        </w:rPr>
        <w:t>use different delivery methods, start with fewer students, or otherwise differ from the existing one, this may not be the case.  Check with your college’s Finance Officer or the Budget Office for assistance.</w:t>
      </w:r>
    </w:p>
    <w:p w14:paraId="180740C3" w14:textId="77777777" w:rsidR="008967B0" w:rsidRPr="00631133" w:rsidRDefault="008967B0" w:rsidP="008967B0">
      <w:pPr>
        <w:rPr>
          <w:rFonts w:ascii="ITC Stone Sans Std Medium" w:hAnsi="ITC Stone Sans Std Medium"/>
          <w:sz w:val="22"/>
          <w:szCs w:val="22"/>
        </w:rPr>
      </w:pPr>
    </w:p>
    <w:p w14:paraId="694C2858" w14:textId="77777777" w:rsidR="00E12157" w:rsidRPr="00631133" w:rsidRDefault="008967B0" w:rsidP="008967B0">
      <w:pPr>
        <w:pStyle w:val="Heading3"/>
        <w:ind w:left="0"/>
        <w:rPr>
          <w:rFonts w:ascii="ITC Stone Sans Std Medium" w:hAnsi="ITC Stone Sans Std Medium"/>
          <w:sz w:val="22"/>
          <w:szCs w:val="22"/>
        </w:rPr>
      </w:pPr>
      <w:r w:rsidRPr="00631133">
        <w:rPr>
          <w:rFonts w:ascii="ITC Stone Sans Std Medium" w:hAnsi="ITC Stone Sans Std Medium"/>
          <w:sz w:val="22"/>
          <w:szCs w:val="22"/>
        </w:rPr>
        <w:t xml:space="preserve">Direct and indirect expenses must be considered in the financial analysis.  </w:t>
      </w:r>
    </w:p>
    <w:p w14:paraId="29B497F4" w14:textId="77777777" w:rsidR="008967B0" w:rsidRPr="00631133" w:rsidRDefault="008967B0" w:rsidP="008967B0">
      <w:pPr>
        <w:pStyle w:val="Heading3"/>
        <w:ind w:left="0"/>
        <w:rPr>
          <w:rFonts w:ascii="ITC Stone Sans Std Medium" w:hAnsi="ITC Stone Sans Std Medium"/>
          <w:sz w:val="22"/>
          <w:szCs w:val="22"/>
        </w:rPr>
      </w:pPr>
      <w:r w:rsidRPr="00631133">
        <w:rPr>
          <w:rFonts w:ascii="ITC Stone Sans Std Medium" w:hAnsi="ITC Stone Sans Std Medium"/>
          <w:b/>
          <w:sz w:val="22"/>
          <w:szCs w:val="22"/>
        </w:rPr>
        <w:t>Direct expenses</w:t>
      </w:r>
      <w:r w:rsidRPr="00631133">
        <w:rPr>
          <w:rFonts w:ascii="ITC Stone Sans Std Medium" w:hAnsi="ITC Stone Sans Std Medium"/>
          <w:sz w:val="22"/>
          <w:szCs w:val="22"/>
        </w:rPr>
        <w:t xml:space="preserve"> are specifically tied to the proposed program and include:</w:t>
      </w:r>
    </w:p>
    <w:p w14:paraId="10363945" w14:textId="77777777" w:rsidR="0075108E" w:rsidRPr="00631133" w:rsidRDefault="0075108E" w:rsidP="0075108E"/>
    <w:p w14:paraId="0B3FC670" w14:textId="77777777" w:rsidR="008967B0" w:rsidRPr="00631133" w:rsidRDefault="002626BD" w:rsidP="004A63D5">
      <w:pPr>
        <w:pStyle w:val="Heading3"/>
        <w:numPr>
          <w:ilvl w:val="0"/>
          <w:numId w:val="9"/>
        </w:numPr>
        <w:rPr>
          <w:rFonts w:ascii="ITC Stone Sans Std Medium" w:hAnsi="ITC Stone Sans Std Medium"/>
          <w:sz w:val="22"/>
          <w:szCs w:val="22"/>
        </w:rPr>
      </w:pPr>
      <w:r w:rsidRPr="00631133">
        <w:rPr>
          <w:rFonts w:ascii="ITC Stone Sans Std Medium" w:hAnsi="ITC Stone Sans Std Medium"/>
          <w:sz w:val="22"/>
          <w:szCs w:val="22"/>
        </w:rPr>
        <w:t>S</w:t>
      </w:r>
      <w:r w:rsidR="008967B0" w:rsidRPr="00631133">
        <w:rPr>
          <w:rFonts w:ascii="ITC Stone Sans Std Medium" w:hAnsi="ITC Stone Sans Std Medium"/>
          <w:sz w:val="22"/>
          <w:szCs w:val="22"/>
        </w:rPr>
        <w:t>alaries and benefits</w:t>
      </w:r>
      <w:r w:rsidRPr="00631133">
        <w:rPr>
          <w:rFonts w:ascii="ITC Stone Sans Std Medium" w:hAnsi="ITC Stone Sans Std Medium"/>
          <w:sz w:val="22"/>
          <w:szCs w:val="22"/>
        </w:rPr>
        <w:t xml:space="preserve"> (Faculty, Administrator, Clerical Support, Graduate Assistants)</w:t>
      </w:r>
    </w:p>
    <w:p w14:paraId="28AC7D46" w14:textId="77777777" w:rsidR="00BC483C" w:rsidRPr="00631133" w:rsidRDefault="00BC483C" w:rsidP="00BC483C">
      <w:pPr>
        <w:numPr>
          <w:ilvl w:val="0"/>
          <w:numId w:val="9"/>
        </w:numPr>
        <w:rPr>
          <w:rFonts w:ascii="ITC Stone Sans Std Medium" w:hAnsi="ITC Stone Sans Std Medium"/>
          <w:sz w:val="22"/>
          <w:szCs w:val="22"/>
        </w:rPr>
      </w:pPr>
      <w:r w:rsidRPr="00631133">
        <w:rPr>
          <w:rFonts w:ascii="ITC Stone Sans Std Medium" w:hAnsi="ITC Stone Sans Std Medium"/>
          <w:sz w:val="22"/>
          <w:szCs w:val="22"/>
        </w:rPr>
        <w:t>Goods and Services – classroom materials, phones, copying,</w:t>
      </w:r>
    </w:p>
    <w:p w14:paraId="7C4E9DF3" w14:textId="77777777" w:rsidR="00BC483C" w:rsidRPr="00631133" w:rsidRDefault="00BC483C" w:rsidP="00BC483C">
      <w:pPr>
        <w:numPr>
          <w:ilvl w:val="0"/>
          <w:numId w:val="9"/>
        </w:numPr>
        <w:rPr>
          <w:rFonts w:ascii="ITC Stone Sans Std Medium" w:hAnsi="ITC Stone Sans Std Medium"/>
          <w:sz w:val="22"/>
          <w:szCs w:val="22"/>
        </w:rPr>
      </w:pPr>
      <w:r w:rsidRPr="00631133">
        <w:rPr>
          <w:rFonts w:ascii="ITC Stone Sans Std Medium" w:hAnsi="ITC Stone Sans Std Medium"/>
          <w:sz w:val="22"/>
          <w:szCs w:val="22"/>
        </w:rPr>
        <w:t>Travel costs</w:t>
      </w:r>
    </w:p>
    <w:p w14:paraId="6F0E63F8" w14:textId="77777777" w:rsidR="008967B0" w:rsidRPr="00631133" w:rsidRDefault="008967B0" w:rsidP="004A63D5">
      <w:pPr>
        <w:pStyle w:val="Heading5"/>
        <w:numPr>
          <w:ilvl w:val="0"/>
          <w:numId w:val="9"/>
        </w:numPr>
        <w:rPr>
          <w:rFonts w:ascii="ITC Stone Sans Std Medium" w:hAnsi="ITC Stone Sans Std Medium"/>
          <w:sz w:val="22"/>
          <w:szCs w:val="22"/>
        </w:rPr>
      </w:pPr>
      <w:r w:rsidRPr="00631133">
        <w:rPr>
          <w:rFonts w:ascii="ITC Stone Sans Std Medium" w:hAnsi="ITC Stone Sans Std Medium"/>
          <w:sz w:val="22"/>
          <w:szCs w:val="22"/>
        </w:rPr>
        <w:t>Equipment costs</w:t>
      </w:r>
    </w:p>
    <w:p w14:paraId="161E0221" w14:textId="77777777" w:rsidR="008967B0" w:rsidRPr="00631133" w:rsidRDefault="008967B0" w:rsidP="004A63D5">
      <w:pPr>
        <w:numPr>
          <w:ilvl w:val="0"/>
          <w:numId w:val="9"/>
        </w:numPr>
        <w:rPr>
          <w:rFonts w:ascii="ITC Stone Sans Std Medium" w:hAnsi="ITC Stone Sans Std Medium"/>
          <w:sz w:val="22"/>
          <w:szCs w:val="22"/>
        </w:rPr>
      </w:pPr>
      <w:r w:rsidRPr="00631133">
        <w:rPr>
          <w:rFonts w:ascii="ITC Stone Sans Std Medium" w:hAnsi="ITC Stone Sans Std Medium"/>
          <w:sz w:val="22"/>
          <w:szCs w:val="22"/>
        </w:rPr>
        <w:t>Other</w:t>
      </w:r>
    </w:p>
    <w:p w14:paraId="18446829" w14:textId="77777777" w:rsidR="008967B0" w:rsidRPr="00631133" w:rsidRDefault="008967B0" w:rsidP="008967B0">
      <w:pPr>
        <w:rPr>
          <w:rFonts w:ascii="ITC Stone Sans Std Medium" w:hAnsi="ITC Stone Sans Std Medium"/>
          <w:sz w:val="22"/>
          <w:szCs w:val="22"/>
        </w:rPr>
      </w:pPr>
    </w:p>
    <w:p w14:paraId="135C9AE7" w14:textId="77777777" w:rsidR="008967B0" w:rsidRPr="00631133" w:rsidRDefault="008967B0" w:rsidP="008967B0">
      <w:pPr>
        <w:rPr>
          <w:rFonts w:ascii="ITC Stone Sans Std Medium" w:hAnsi="ITC Stone Sans Std Medium"/>
          <w:sz w:val="22"/>
          <w:szCs w:val="22"/>
        </w:rPr>
      </w:pPr>
      <w:r w:rsidRPr="00631133">
        <w:rPr>
          <w:rFonts w:ascii="ITC Stone Sans Std Medium" w:hAnsi="ITC Stone Sans Std Medium"/>
          <w:b/>
          <w:bCs/>
          <w:sz w:val="22"/>
          <w:szCs w:val="22"/>
        </w:rPr>
        <w:t xml:space="preserve">Indirect expenses </w:t>
      </w:r>
      <w:r w:rsidRPr="00631133">
        <w:rPr>
          <w:rFonts w:ascii="ITC Stone Sans Std Medium" w:hAnsi="ITC Stone Sans Std Medium"/>
          <w:sz w:val="22"/>
          <w:szCs w:val="22"/>
        </w:rPr>
        <w:t xml:space="preserve">are costs associated with existing or additional support services that increase incrementally because of the addition of the program.  These costs should not be confused with the Facilities and Administrative (F&amp;A) costs that are applied to grants and contracts.  The indirect costs related to new programs are the facilities, administrative support and student services costs that are in place to support the delivery of the University’s academic programs.  The </w:t>
      </w:r>
      <w:r w:rsidR="005E1BE4" w:rsidRPr="00631133">
        <w:rPr>
          <w:rFonts w:ascii="ITC Stone Sans Std Medium" w:hAnsi="ITC Stone Sans Std Medium"/>
          <w:sz w:val="22"/>
          <w:szCs w:val="22"/>
        </w:rPr>
        <w:t xml:space="preserve">indirect cost </w:t>
      </w:r>
      <w:r w:rsidRPr="00631133">
        <w:rPr>
          <w:rFonts w:ascii="ITC Stone Sans Std Medium" w:hAnsi="ITC Stone Sans Std Medium"/>
          <w:sz w:val="22"/>
          <w:szCs w:val="22"/>
        </w:rPr>
        <w:t xml:space="preserve">rate is </w:t>
      </w:r>
      <w:r w:rsidR="00743143" w:rsidRPr="00631133">
        <w:rPr>
          <w:rFonts w:ascii="ITC Stone Sans Std Medium" w:hAnsi="ITC Stone Sans Std Medium"/>
          <w:sz w:val="22"/>
          <w:szCs w:val="22"/>
        </w:rPr>
        <w:t xml:space="preserve">automatically calculated in </w:t>
      </w:r>
      <w:r w:rsidR="00BD273A" w:rsidRPr="00631133">
        <w:rPr>
          <w:rFonts w:ascii="ITC Stone Sans Std Medium" w:hAnsi="ITC Stone Sans Std Medium"/>
          <w:sz w:val="22"/>
          <w:szCs w:val="22"/>
        </w:rPr>
        <w:t>Table 2.</w:t>
      </w:r>
    </w:p>
    <w:p w14:paraId="62AF579F" w14:textId="77777777" w:rsidR="0075108E" w:rsidRPr="00631133" w:rsidRDefault="0075108E">
      <w:pPr>
        <w:rPr>
          <w:rFonts w:ascii="ITC Stone Sans Std Medium" w:hAnsi="ITC Stone Sans Std Medium"/>
          <w:b/>
          <w:sz w:val="22"/>
          <w:szCs w:val="22"/>
          <w:u w:val="single"/>
        </w:rPr>
      </w:pPr>
      <w:r w:rsidRPr="00631133">
        <w:rPr>
          <w:rFonts w:ascii="ITC Stone Sans Std Medium" w:hAnsi="ITC Stone Sans Std Medium"/>
          <w:b/>
          <w:sz w:val="22"/>
          <w:szCs w:val="22"/>
          <w:u w:val="single"/>
        </w:rPr>
        <w:br w:type="page"/>
      </w:r>
    </w:p>
    <w:p w14:paraId="7BC16871" w14:textId="77777777" w:rsidR="008967B0" w:rsidRPr="00631133" w:rsidRDefault="008967B0" w:rsidP="008967B0">
      <w:pPr>
        <w:pStyle w:val="xl23"/>
        <w:pBdr>
          <w:bottom w:val="none" w:sz="0" w:space="0" w:color="auto"/>
        </w:pBdr>
        <w:spacing w:before="0" w:beforeAutospacing="0" w:after="0" w:afterAutospacing="0"/>
        <w:rPr>
          <w:rFonts w:ascii="ITC Stone Sans Std Medium" w:eastAsia="Times New Roman" w:hAnsi="ITC Stone Sans Std Medium" w:cs="Times New Roman"/>
          <w:b/>
          <w:sz w:val="22"/>
          <w:szCs w:val="22"/>
          <w:u w:val="single"/>
        </w:rPr>
      </w:pPr>
    </w:p>
    <w:p w14:paraId="45D0B6A7" w14:textId="77777777" w:rsidR="008967B0" w:rsidRPr="00631133" w:rsidRDefault="00BC483C" w:rsidP="008967B0">
      <w:pPr>
        <w:pStyle w:val="xl23"/>
        <w:pBdr>
          <w:bottom w:val="none" w:sz="0" w:space="0" w:color="auto"/>
        </w:pBdr>
        <w:spacing w:before="0" w:beforeAutospacing="0" w:after="0" w:afterAutospacing="0"/>
        <w:rPr>
          <w:rFonts w:ascii="ITC Stone Sans Std Medium" w:eastAsia="Times New Roman" w:hAnsi="ITC Stone Sans Std Medium" w:cs="Times New Roman"/>
          <w:b/>
          <w:sz w:val="22"/>
          <w:szCs w:val="22"/>
        </w:rPr>
      </w:pPr>
      <w:r w:rsidRPr="00631133">
        <w:rPr>
          <w:rFonts w:ascii="ITC Stone Sans Std Medium" w:eastAsia="Times New Roman" w:hAnsi="ITC Stone Sans Std Medium" w:cs="Times New Roman"/>
          <w:b/>
          <w:sz w:val="22"/>
          <w:szCs w:val="22"/>
        </w:rPr>
        <w:t xml:space="preserve">Detailed </w:t>
      </w:r>
      <w:r w:rsidR="008967B0" w:rsidRPr="00631133">
        <w:rPr>
          <w:rFonts w:ascii="ITC Stone Sans Std Medium" w:eastAsia="Times New Roman" w:hAnsi="ITC Stone Sans Std Medium" w:cs="Times New Roman"/>
          <w:b/>
          <w:sz w:val="22"/>
          <w:szCs w:val="22"/>
        </w:rPr>
        <w:t xml:space="preserve">Information for Completing Table </w:t>
      </w:r>
      <w:r w:rsidRPr="00631133">
        <w:rPr>
          <w:rFonts w:ascii="ITC Stone Sans Std Medium" w:eastAsia="Times New Roman" w:hAnsi="ITC Stone Sans Std Medium" w:cs="Times New Roman"/>
          <w:b/>
          <w:sz w:val="22"/>
          <w:szCs w:val="22"/>
        </w:rPr>
        <w:t>2</w:t>
      </w:r>
    </w:p>
    <w:p w14:paraId="72FC0B64" w14:textId="77777777" w:rsidR="00225930" w:rsidRPr="00631133" w:rsidRDefault="00225930" w:rsidP="008967B0">
      <w:pPr>
        <w:pStyle w:val="xl23"/>
        <w:pBdr>
          <w:bottom w:val="none" w:sz="0" w:space="0" w:color="auto"/>
        </w:pBdr>
        <w:spacing w:before="0" w:beforeAutospacing="0" w:after="0" w:afterAutospacing="0"/>
        <w:rPr>
          <w:rFonts w:ascii="ITC Stone Sans Std Medium" w:eastAsia="Times New Roman" w:hAnsi="ITC Stone Sans Std Medium" w:cs="Times New Roman"/>
          <w:b/>
          <w:sz w:val="22"/>
          <w:szCs w:val="22"/>
        </w:rPr>
      </w:pPr>
    </w:p>
    <w:p w14:paraId="4A4DFCA7" w14:textId="77777777" w:rsidR="0075108E" w:rsidRPr="00631133" w:rsidRDefault="00B96FFC" w:rsidP="0075108E">
      <w:pPr>
        <w:pStyle w:val="xl23"/>
        <w:pBdr>
          <w:bottom w:val="none" w:sz="0" w:space="0" w:color="auto"/>
        </w:pBdr>
        <w:spacing w:before="0" w:beforeAutospacing="0" w:after="0" w:afterAutospacing="0"/>
        <w:rPr>
          <w:rFonts w:ascii="ITC Stone Sans Std Medium" w:eastAsia="Times New Roman" w:hAnsi="ITC Stone Sans Std Medium" w:cs="Times New Roman"/>
          <w:b/>
          <w:sz w:val="22"/>
          <w:szCs w:val="22"/>
        </w:rPr>
      </w:pPr>
      <w:r w:rsidRPr="00631133">
        <w:rPr>
          <w:rFonts w:ascii="ITC Stone Sans Std Medium" w:eastAsia="Times New Roman" w:hAnsi="ITC Stone Sans Std Medium" w:cs="Times New Roman"/>
          <w:b/>
          <w:sz w:val="22"/>
          <w:szCs w:val="22"/>
        </w:rPr>
        <w:t>Expenditure Section</w:t>
      </w:r>
      <w:r w:rsidR="000D0EBA" w:rsidRPr="00631133">
        <w:rPr>
          <w:rFonts w:ascii="ITC Stone Sans Std Medium" w:eastAsia="Times New Roman" w:hAnsi="ITC Stone Sans Std Medium" w:cs="Times New Roman"/>
          <w:b/>
          <w:sz w:val="22"/>
          <w:szCs w:val="22"/>
        </w:rPr>
        <w:t xml:space="preserve"> – identify direct costs of the program</w:t>
      </w:r>
      <w:r w:rsidRPr="00631133">
        <w:rPr>
          <w:rFonts w:ascii="ITC Stone Sans Std Medium" w:eastAsia="Times New Roman" w:hAnsi="ITC Stone Sans Std Medium" w:cs="Times New Roman"/>
          <w:b/>
          <w:sz w:val="22"/>
          <w:szCs w:val="22"/>
        </w:rPr>
        <w:t>:</w:t>
      </w:r>
      <w:r w:rsidR="0075108E" w:rsidRPr="00631133" w:rsidDel="0075108E">
        <w:rPr>
          <w:rFonts w:ascii="ITC Stone Sans Std Medium" w:eastAsia="Times New Roman" w:hAnsi="ITC Stone Sans Std Medium" w:cs="Times New Roman"/>
          <w:b/>
          <w:sz w:val="22"/>
          <w:szCs w:val="22"/>
        </w:rPr>
        <w:t xml:space="preserve"> </w:t>
      </w:r>
    </w:p>
    <w:p w14:paraId="2CE2804A" w14:textId="77777777" w:rsidR="00BC483C" w:rsidRPr="00631133" w:rsidRDefault="00BC483C" w:rsidP="0075108E">
      <w:pPr>
        <w:pStyle w:val="xl23"/>
        <w:numPr>
          <w:ilvl w:val="0"/>
          <w:numId w:val="22"/>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 xml:space="preserve">Complete the template using your best estimates of the costs to deliver this new program for the first </w:t>
      </w:r>
      <w:r w:rsidR="003F4F79" w:rsidRPr="00631133">
        <w:rPr>
          <w:rFonts w:ascii="ITC Stone Sans Std Medium" w:eastAsia="Times New Roman" w:hAnsi="ITC Stone Sans Std Medium" w:cs="Times New Roman"/>
          <w:sz w:val="22"/>
          <w:szCs w:val="22"/>
        </w:rPr>
        <w:t xml:space="preserve">two </w:t>
      </w:r>
      <w:r w:rsidRPr="00631133">
        <w:rPr>
          <w:rFonts w:ascii="ITC Stone Sans Std Medium" w:eastAsia="Times New Roman" w:hAnsi="ITC Stone Sans Std Medium" w:cs="Times New Roman"/>
          <w:sz w:val="22"/>
          <w:szCs w:val="22"/>
        </w:rPr>
        <w:t>year</w:t>
      </w:r>
      <w:r w:rsidR="003F4F79" w:rsidRPr="00631133">
        <w:rPr>
          <w:rFonts w:ascii="ITC Stone Sans Std Medium" w:eastAsia="Times New Roman" w:hAnsi="ITC Stone Sans Std Medium" w:cs="Times New Roman"/>
          <w:sz w:val="22"/>
          <w:szCs w:val="22"/>
        </w:rPr>
        <w:t>s</w:t>
      </w:r>
      <w:r w:rsidRPr="00631133">
        <w:rPr>
          <w:rFonts w:ascii="ITC Stone Sans Std Medium" w:eastAsia="Times New Roman" w:hAnsi="ITC Stone Sans Std Medium" w:cs="Times New Roman"/>
          <w:sz w:val="22"/>
          <w:szCs w:val="22"/>
        </w:rPr>
        <w:t xml:space="preserve"> of delivery and in the year that you expect it to reach full capacity (Year N).  It is often true that the first year of a program has higher costs per student FTE, as the enrollments in early years are lower than expected </w:t>
      </w:r>
      <w:r w:rsidR="00BD273A" w:rsidRPr="00631133">
        <w:rPr>
          <w:rFonts w:ascii="ITC Stone Sans Std Medium" w:eastAsia="Times New Roman" w:hAnsi="ITC Stone Sans Std Medium" w:cs="Times New Roman"/>
          <w:sz w:val="22"/>
          <w:szCs w:val="22"/>
        </w:rPr>
        <w:t xml:space="preserve">at </w:t>
      </w:r>
      <w:r w:rsidRPr="00631133">
        <w:rPr>
          <w:rFonts w:ascii="ITC Stone Sans Std Medium" w:eastAsia="Times New Roman" w:hAnsi="ITC Stone Sans Std Medium" w:cs="Times New Roman"/>
          <w:sz w:val="22"/>
          <w:szCs w:val="22"/>
        </w:rPr>
        <w:t>full capacity.  Over time, as the number of FTE increase, the costs per FTE will decrease.</w:t>
      </w:r>
    </w:p>
    <w:p w14:paraId="086066C3" w14:textId="77777777" w:rsidR="00BC483C" w:rsidRPr="00631133" w:rsidRDefault="00BC483C" w:rsidP="003215E8">
      <w:pPr>
        <w:pStyle w:val="xl23"/>
        <w:pBdr>
          <w:bottom w:val="none" w:sz="0" w:space="0" w:color="auto"/>
        </w:pBdr>
        <w:spacing w:before="0" w:beforeAutospacing="0" w:after="0" w:afterAutospacing="0"/>
        <w:rPr>
          <w:rFonts w:ascii="ITC Stone Sans Std Medium" w:eastAsia="Times New Roman" w:hAnsi="ITC Stone Sans Std Medium" w:cs="Times New Roman"/>
          <w:sz w:val="22"/>
          <w:szCs w:val="22"/>
        </w:rPr>
      </w:pPr>
    </w:p>
    <w:p w14:paraId="7552EC14" w14:textId="77777777" w:rsidR="00B96FFC" w:rsidRPr="00631133" w:rsidRDefault="00BC483C">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 xml:space="preserve">Enter the staffing needs for the program (faculty, </w:t>
      </w:r>
      <w:r w:rsidR="00786DA5" w:rsidRPr="00631133">
        <w:rPr>
          <w:rFonts w:ascii="ITC Stone Sans Std Medium" w:eastAsia="Times New Roman" w:hAnsi="ITC Stone Sans Std Medium" w:cs="Times New Roman"/>
          <w:sz w:val="22"/>
          <w:szCs w:val="22"/>
        </w:rPr>
        <w:t xml:space="preserve">graduate students, </w:t>
      </w:r>
      <w:r w:rsidR="00BD273A" w:rsidRPr="00631133">
        <w:rPr>
          <w:rFonts w:ascii="ITC Stone Sans Std Medium" w:eastAsia="Times New Roman" w:hAnsi="ITC Stone Sans Std Medium" w:cs="Times New Roman"/>
          <w:sz w:val="22"/>
          <w:szCs w:val="22"/>
        </w:rPr>
        <w:t>exempt</w:t>
      </w:r>
      <w:r w:rsidRPr="00631133">
        <w:rPr>
          <w:rFonts w:ascii="ITC Stone Sans Std Medium" w:eastAsia="Times New Roman" w:hAnsi="ITC Stone Sans Std Medium" w:cs="Times New Roman"/>
          <w:sz w:val="22"/>
          <w:szCs w:val="22"/>
        </w:rPr>
        <w:t xml:space="preserve"> and </w:t>
      </w:r>
      <w:r w:rsidR="00BD273A" w:rsidRPr="00631133">
        <w:rPr>
          <w:rFonts w:ascii="ITC Stone Sans Std Medium" w:eastAsia="Times New Roman" w:hAnsi="ITC Stone Sans Std Medium" w:cs="Times New Roman"/>
          <w:sz w:val="22"/>
          <w:szCs w:val="22"/>
        </w:rPr>
        <w:t>classified</w:t>
      </w:r>
      <w:r w:rsidRPr="00631133">
        <w:rPr>
          <w:rFonts w:ascii="ITC Stone Sans Std Medium" w:eastAsia="Times New Roman" w:hAnsi="ITC Stone Sans Std Medium" w:cs="Times New Roman"/>
          <w:sz w:val="22"/>
          <w:szCs w:val="22"/>
        </w:rPr>
        <w:t xml:space="preserve"> staff). A full-time appointment is 1</w:t>
      </w:r>
      <w:r w:rsidR="00BD273A" w:rsidRPr="00631133">
        <w:rPr>
          <w:rFonts w:ascii="ITC Stone Sans Std Medium" w:eastAsia="Times New Roman" w:hAnsi="ITC Stone Sans Std Medium" w:cs="Times New Roman"/>
          <w:sz w:val="22"/>
          <w:szCs w:val="22"/>
        </w:rPr>
        <w:t xml:space="preserve"> </w:t>
      </w:r>
      <w:r w:rsidRPr="00631133">
        <w:rPr>
          <w:rFonts w:ascii="ITC Stone Sans Std Medium" w:eastAsia="Times New Roman" w:hAnsi="ITC Stone Sans Std Medium" w:cs="Times New Roman"/>
          <w:sz w:val="22"/>
          <w:szCs w:val="22"/>
        </w:rPr>
        <w:t xml:space="preserve">FTE, </w:t>
      </w:r>
      <w:r w:rsidR="00B96FFC" w:rsidRPr="00631133">
        <w:rPr>
          <w:rFonts w:ascii="ITC Stone Sans Std Medium" w:eastAsia="Times New Roman" w:hAnsi="ITC Stone Sans Std Medium" w:cs="Times New Roman"/>
          <w:sz w:val="22"/>
          <w:szCs w:val="22"/>
        </w:rPr>
        <w:t xml:space="preserve">half-time is 0.5 FTE, etc. </w:t>
      </w:r>
      <w:r w:rsidR="000D0EBA" w:rsidRPr="00631133">
        <w:rPr>
          <w:rFonts w:ascii="ITC Stone Sans Std Medium" w:eastAsia="Times New Roman" w:hAnsi="ITC Stone Sans Std Medium" w:cs="Times New Roman"/>
          <w:sz w:val="22"/>
          <w:szCs w:val="22"/>
        </w:rPr>
        <w:t xml:space="preserve">List the job titles (not individual’s names) and FTE for each category of employee on the template along with their salary amounts.  </w:t>
      </w:r>
    </w:p>
    <w:p w14:paraId="09379FAC" w14:textId="77777777" w:rsidR="000D0EBA" w:rsidRPr="00631133" w:rsidRDefault="000D0EBA" w:rsidP="003215E8">
      <w:pPr>
        <w:pStyle w:val="ListParagraph"/>
        <w:rPr>
          <w:rFonts w:ascii="ITC Stone Sans Std Medium" w:hAnsi="ITC Stone Sans Std Medium"/>
          <w:sz w:val="22"/>
          <w:szCs w:val="22"/>
        </w:rPr>
      </w:pPr>
    </w:p>
    <w:p w14:paraId="35F54C3F" w14:textId="77777777" w:rsidR="00B96FFC" w:rsidRPr="00631133" w:rsidRDefault="00B96FFC" w:rsidP="00BC483C">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 xml:space="preserve">Use the most recent benefit model located </w:t>
      </w:r>
      <w:hyperlink r:id="rId9" w:history="1">
        <w:r w:rsidRPr="00631133">
          <w:rPr>
            <w:rStyle w:val="Hyperlink"/>
            <w:rFonts w:ascii="ITC Stone Sans Std Medium" w:eastAsia="Times New Roman" w:hAnsi="ITC Stone Sans Std Medium" w:cs="Times New Roman"/>
            <w:sz w:val="22"/>
            <w:szCs w:val="22"/>
          </w:rPr>
          <w:t>here</w:t>
        </w:r>
      </w:hyperlink>
      <w:r w:rsidRPr="00631133">
        <w:rPr>
          <w:rFonts w:ascii="ITC Stone Sans Std Medium" w:eastAsia="Times New Roman" w:hAnsi="ITC Stone Sans Std Medium" w:cs="Times New Roman"/>
          <w:sz w:val="22"/>
          <w:szCs w:val="22"/>
        </w:rPr>
        <w:t xml:space="preserve"> to estimate benefits. </w:t>
      </w:r>
    </w:p>
    <w:p w14:paraId="1E7AE0A9" w14:textId="77777777" w:rsidR="00786DA5" w:rsidRPr="00631133" w:rsidRDefault="00786DA5" w:rsidP="003215E8">
      <w:pPr>
        <w:pStyle w:val="ListParagraph"/>
        <w:rPr>
          <w:rFonts w:ascii="ITC Stone Sans Std Medium" w:hAnsi="ITC Stone Sans Std Medium"/>
          <w:sz w:val="22"/>
          <w:szCs w:val="22"/>
        </w:rPr>
      </w:pPr>
    </w:p>
    <w:p w14:paraId="6B0969B7" w14:textId="33B93875" w:rsidR="00786DA5" w:rsidRPr="00631133" w:rsidRDefault="00786DA5" w:rsidP="00BC483C">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Estimate operating expenses for goods and services, travel, and equipment.</w:t>
      </w:r>
      <w:r w:rsidR="00C033B4">
        <w:rPr>
          <w:rFonts w:ascii="ITC Stone Sans Std Medium" w:eastAsia="Times New Roman" w:hAnsi="ITC Stone Sans Std Medium" w:cs="Times New Roman"/>
          <w:sz w:val="22"/>
          <w:szCs w:val="22"/>
        </w:rPr>
        <w:t xml:space="preserve"> (Include both one-time and on-going costs)</w:t>
      </w:r>
    </w:p>
    <w:p w14:paraId="632985C4" w14:textId="77777777" w:rsidR="00786DA5" w:rsidRPr="00631133" w:rsidRDefault="00786DA5" w:rsidP="003215E8">
      <w:pPr>
        <w:pStyle w:val="ListParagraph"/>
        <w:rPr>
          <w:rFonts w:ascii="ITC Stone Sans Std Medium" w:hAnsi="ITC Stone Sans Std Medium"/>
          <w:sz w:val="22"/>
          <w:szCs w:val="22"/>
        </w:rPr>
      </w:pPr>
    </w:p>
    <w:p w14:paraId="4AFDACCF" w14:textId="77777777" w:rsidR="00786DA5" w:rsidRPr="00631133" w:rsidRDefault="00786DA5" w:rsidP="00BC483C">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 xml:space="preserve">The spreadsheet will automatically sum direct costs and calculate indirect costs </w:t>
      </w:r>
      <w:r w:rsidR="000D0EBA" w:rsidRPr="00631133">
        <w:rPr>
          <w:rFonts w:ascii="ITC Stone Sans Std Medium" w:eastAsia="Times New Roman" w:hAnsi="ITC Stone Sans Std Medium" w:cs="Times New Roman"/>
          <w:sz w:val="22"/>
          <w:szCs w:val="22"/>
        </w:rPr>
        <w:t>and</w:t>
      </w:r>
      <w:r w:rsidRPr="00631133">
        <w:rPr>
          <w:rFonts w:ascii="ITC Stone Sans Std Medium" w:eastAsia="Times New Roman" w:hAnsi="ITC Stone Sans Std Medium" w:cs="Times New Roman"/>
          <w:sz w:val="22"/>
          <w:szCs w:val="22"/>
        </w:rPr>
        <w:t xml:space="preserve"> cost per student </w:t>
      </w:r>
      <w:r w:rsidR="000D0EBA" w:rsidRPr="00631133">
        <w:rPr>
          <w:rFonts w:ascii="ITC Stone Sans Std Medium" w:eastAsia="Times New Roman" w:hAnsi="ITC Stone Sans Std Medium" w:cs="Times New Roman"/>
          <w:sz w:val="22"/>
          <w:szCs w:val="22"/>
        </w:rPr>
        <w:t>AA</w:t>
      </w:r>
      <w:r w:rsidRPr="00631133">
        <w:rPr>
          <w:rFonts w:ascii="ITC Stone Sans Std Medium" w:eastAsia="Times New Roman" w:hAnsi="ITC Stone Sans Std Medium" w:cs="Times New Roman"/>
          <w:sz w:val="22"/>
          <w:szCs w:val="22"/>
        </w:rPr>
        <w:t>FTE.</w:t>
      </w:r>
    </w:p>
    <w:p w14:paraId="00DB5DAA" w14:textId="77777777" w:rsidR="00786DA5" w:rsidRPr="00631133" w:rsidRDefault="00786DA5" w:rsidP="003215E8">
      <w:pPr>
        <w:pStyle w:val="ListParagraph"/>
        <w:rPr>
          <w:rFonts w:ascii="ITC Stone Sans Std Medium" w:hAnsi="ITC Stone Sans Std Medium"/>
          <w:sz w:val="22"/>
          <w:szCs w:val="22"/>
        </w:rPr>
      </w:pPr>
    </w:p>
    <w:p w14:paraId="7AA4FBC6" w14:textId="77777777" w:rsidR="00786DA5" w:rsidRPr="00631133" w:rsidRDefault="000D0EBA">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Finally,</w:t>
      </w:r>
      <w:r w:rsidR="00786DA5" w:rsidRPr="00631133">
        <w:rPr>
          <w:rFonts w:ascii="ITC Stone Sans Std Medium" w:eastAsia="Times New Roman" w:hAnsi="ITC Stone Sans Std Medium" w:cs="Times New Roman"/>
          <w:sz w:val="22"/>
          <w:szCs w:val="22"/>
        </w:rPr>
        <w:t xml:space="preserve"> </w:t>
      </w:r>
      <w:r w:rsidRPr="00631133">
        <w:rPr>
          <w:rFonts w:ascii="ITC Stone Sans Std Medium" w:eastAsia="Times New Roman" w:hAnsi="ITC Stone Sans Std Medium" w:cs="Times New Roman"/>
          <w:sz w:val="22"/>
          <w:szCs w:val="22"/>
        </w:rPr>
        <w:t xml:space="preserve">identify any </w:t>
      </w:r>
      <w:r w:rsidR="00786DA5" w:rsidRPr="00631133">
        <w:rPr>
          <w:rFonts w:ascii="ITC Stone Sans Std Medium" w:eastAsia="Times New Roman" w:hAnsi="ITC Stone Sans Std Medium" w:cs="Times New Roman"/>
          <w:sz w:val="22"/>
          <w:szCs w:val="22"/>
        </w:rPr>
        <w:t xml:space="preserve">one-time </w:t>
      </w:r>
      <w:r w:rsidRPr="00631133">
        <w:rPr>
          <w:rFonts w:ascii="ITC Stone Sans Std Medium" w:eastAsia="Times New Roman" w:hAnsi="ITC Stone Sans Std Medium" w:cs="Times New Roman"/>
          <w:sz w:val="22"/>
          <w:szCs w:val="22"/>
        </w:rPr>
        <w:t>costs included in the annual totals. The spreadsheet will calculate r</w:t>
      </w:r>
      <w:r w:rsidR="00786DA5" w:rsidRPr="00631133">
        <w:rPr>
          <w:rFonts w:ascii="ITC Stone Sans Std Medium" w:eastAsia="Times New Roman" w:hAnsi="ITC Stone Sans Std Medium" w:cs="Times New Roman"/>
          <w:sz w:val="22"/>
          <w:szCs w:val="22"/>
        </w:rPr>
        <w:t>ecurring totals</w:t>
      </w:r>
      <w:r w:rsidRPr="00631133">
        <w:rPr>
          <w:rFonts w:ascii="ITC Stone Sans Std Medium" w:eastAsia="Times New Roman" w:hAnsi="ITC Stone Sans Std Medium" w:cs="Times New Roman"/>
          <w:sz w:val="22"/>
          <w:szCs w:val="22"/>
        </w:rPr>
        <w:t xml:space="preserve"> based on the one-time costs entered</w:t>
      </w:r>
      <w:r w:rsidR="00786DA5" w:rsidRPr="00631133">
        <w:rPr>
          <w:rFonts w:ascii="ITC Stone Sans Std Medium" w:eastAsia="Times New Roman" w:hAnsi="ITC Stone Sans Std Medium" w:cs="Times New Roman"/>
          <w:sz w:val="22"/>
          <w:szCs w:val="22"/>
        </w:rPr>
        <w:t xml:space="preserve">. (All indirect costs </w:t>
      </w:r>
      <w:r w:rsidRPr="00631133">
        <w:rPr>
          <w:rFonts w:ascii="ITC Stone Sans Std Medium" w:eastAsia="Times New Roman" w:hAnsi="ITC Stone Sans Std Medium" w:cs="Times New Roman"/>
          <w:sz w:val="22"/>
          <w:szCs w:val="22"/>
        </w:rPr>
        <w:t>are</w:t>
      </w:r>
      <w:r w:rsidR="00786DA5" w:rsidRPr="00631133">
        <w:rPr>
          <w:rFonts w:ascii="ITC Stone Sans Std Medium" w:eastAsia="Times New Roman" w:hAnsi="ITC Stone Sans Std Medium" w:cs="Times New Roman"/>
          <w:sz w:val="22"/>
          <w:szCs w:val="22"/>
        </w:rPr>
        <w:t xml:space="preserve"> recurring.)</w:t>
      </w:r>
    </w:p>
    <w:p w14:paraId="265BE3E7" w14:textId="77777777" w:rsidR="00B96FFC" w:rsidRPr="00631133" w:rsidRDefault="00B96FFC" w:rsidP="003215E8">
      <w:pPr>
        <w:rPr>
          <w:rFonts w:ascii="ITC Stone Sans Std Medium" w:hAnsi="ITC Stone Sans Std Medium"/>
          <w:sz w:val="22"/>
          <w:szCs w:val="22"/>
        </w:rPr>
      </w:pPr>
    </w:p>
    <w:p w14:paraId="2E42D56F" w14:textId="77777777" w:rsidR="00B96FFC" w:rsidRPr="00631133" w:rsidRDefault="00B96FFC" w:rsidP="00B96FFC">
      <w:pPr>
        <w:pStyle w:val="xl23"/>
        <w:pBdr>
          <w:bottom w:val="none" w:sz="0" w:space="0" w:color="auto"/>
        </w:pBdr>
        <w:spacing w:before="0" w:beforeAutospacing="0" w:after="0" w:afterAutospacing="0"/>
        <w:rPr>
          <w:rFonts w:ascii="ITC Stone Sans Std Medium" w:eastAsia="Times New Roman" w:hAnsi="ITC Stone Sans Std Medium" w:cs="Times New Roman"/>
          <w:b/>
          <w:sz w:val="22"/>
          <w:szCs w:val="22"/>
        </w:rPr>
      </w:pPr>
      <w:r w:rsidRPr="00631133">
        <w:rPr>
          <w:rFonts w:ascii="ITC Stone Sans Std Medium" w:eastAsia="Times New Roman" w:hAnsi="ITC Stone Sans Std Medium" w:cs="Times New Roman"/>
          <w:b/>
          <w:sz w:val="22"/>
          <w:szCs w:val="22"/>
        </w:rPr>
        <w:t>Revenue Section</w:t>
      </w:r>
      <w:r w:rsidR="00786DA5" w:rsidRPr="00631133">
        <w:rPr>
          <w:rFonts w:ascii="ITC Stone Sans Std Medium" w:eastAsia="Times New Roman" w:hAnsi="ITC Stone Sans Std Medium" w:cs="Times New Roman"/>
          <w:b/>
          <w:sz w:val="22"/>
          <w:szCs w:val="22"/>
        </w:rPr>
        <w:t xml:space="preserve"> – break down the anticipated sources of funds according to these categories</w:t>
      </w:r>
      <w:r w:rsidRPr="00631133">
        <w:rPr>
          <w:rFonts w:ascii="ITC Stone Sans Std Medium" w:eastAsia="Times New Roman" w:hAnsi="ITC Stone Sans Std Medium" w:cs="Times New Roman"/>
          <w:b/>
          <w:sz w:val="22"/>
          <w:szCs w:val="22"/>
        </w:rPr>
        <w:t>:</w:t>
      </w:r>
    </w:p>
    <w:p w14:paraId="5502C5DC" w14:textId="77777777" w:rsidR="00B96FFC" w:rsidRPr="00631133" w:rsidRDefault="00B96FFC" w:rsidP="003215E8">
      <w:pPr>
        <w:pStyle w:val="xl23"/>
        <w:pBdr>
          <w:bottom w:val="none" w:sz="0" w:space="0" w:color="auto"/>
        </w:pBdr>
        <w:spacing w:before="0" w:beforeAutospacing="0" w:after="0" w:afterAutospacing="0"/>
        <w:rPr>
          <w:rFonts w:ascii="ITC Stone Sans Std Medium" w:eastAsia="Times New Roman" w:hAnsi="ITC Stone Sans Std Medium" w:cs="Times New Roman"/>
          <w:sz w:val="22"/>
          <w:szCs w:val="22"/>
        </w:rPr>
      </w:pPr>
    </w:p>
    <w:p w14:paraId="666D6E26" w14:textId="77777777" w:rsidR="00B96FFC" w:rsidRPr="00631133" w:rsidRDefault="008967B0" w:rsidP="004A63D5">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b/>
          <w:sz w:val="22"/>
          <w:szCs w:val="22"/>
        </w:rPr>
        <w:t>Internal Reallocation</w:t>
      </w:r>
      <w:r w:rsidR="00786DA5" w:rsidRPr="00631133">
        <w:rPr>
          <w:rFonts w:ascii="ITC Stone Sans Std Medium" w:eastAsia="Times New Roman" w:hAnsi="ITC Stone Sans Std Medium" w:cs="Times New Roman"/>
          <w:b/>
          <w:sz w:val="22"/>
          <w:szCs w:val="22"/>
        </w:rPr>
        <w:t>s</w:t>
      </w:r>
      <w:r w:rsidRPr="00631133">
        <w:rPr>
          <w:rFonts w:ascii="ITC Stone Sans Std Medium" w:eastAsia="Times New Roman" w:hAnsi="ITC Stone Sans Std Medium" w:cs="Times New Roman"/>
          <w:sz w:val="22"/>
          <w:szCs w:val="22"/>
        </w:rPr>
        <w:t xml:space="preserve"> </w:t>
      </w:r>
      <w:r w:rsidR="00A010E4" w:rsidRPr="00631133">
        <w:rPr>
          <w:rFonts w:ascii="ITC Stone Sans Std Medium" w:eastAsia="Times New Roman" w:hAnsi="ITC Stone Sans Std Medium" w:cs="Times New Roman"/>
          <w:sz w:val="22"/>
          <w:szCs w:val="22"/>
        </w:rPr>
        <w:t>indicate</w:t>
      </w:r>
      <w:r w:rsidRPr="00631133">
        <w:rPr>
          <w:rFonts w:ascii="ITC Stone Sans Std Medium" w:eastAsia="Times New Roman" w:hAnsi="ITC Stone Sans Std Medium" w:cs="Times New Roman"/>
          <w:sz w:val="22"/>
          <w:szCs w:val="22"/>
        </w:rPr>
        <w:t xml:space="preserve"> the </w:t>
      </w:r>
      <w:r w:rsidR="00B96FFC" w:rsidRPr="00631133">
        <w:rPr>
          <w:rFonts w:ascii="ITC Stone Sans Std Medium" w:eastAsia="Times New Roman" w:hAnsi="ITC Stone Sans Std Medium" w:cs="Times New Roman"/>
          <w:sz w:val="22"/>
          <w:szCs w:val="22"/>
        </w:rPr>
        <w:t xml:space="preserve">portion of the </w:t>
      </w:r>
      <w:r w:rsidRPr="00631133">
        <w:rPr>
          <w:rFonts w:ascii="ITC Stone Sans Std Medium" w:eastAsia="Times New Roman" w:hAnsi="ITC Stone Sans Std Medium" w:cs="Times New Roman"/>
          <w:sz w:val="22"/>
          <w:szCs w:val="22"/>
        </w:rPr>
        <w:t xml:space="preserve">costs within the column </w:t>
      </w:r>
      <w:r w:rsidR="00B96FFC" w:rsidRPr="00631133">
        <w:rPr>
          <w:rFonts w:ascii="ITC Stone Sans Std Medium" w:eastAsia="Times New Roman" w:hAnsi="ITC Stone Sans Std Medium" w:cs="Times New Roman"/>
          <w:sz w:val="22"/>
          <w:szCs w:val="22"/>
        </w:rPr>
        <w:t xml:space="preserve">that </w:t>
      </w:r>
      <w:r w:rsidRPr="00631133">
        <w:rPr>
          <w:rFonts w:ascii="ITC Stone Sans Std Medium" w:eastAsia="Times New Roman" w:hAnsi="ITC Stone Sans Std Medium" w:cs="Times New Roman"/>
          <w:sz w:val="22"/>
          <w:szCs w:val="22"/>
        </w:rPr>
        <w:t xml:space="preserve">will be covered by </w:t>
      </w:r>
      <w:r w:rsidR="005E1BE4" w:rsidRPr="00631133">
        <w:rPr>
          <w:rFonts w:ascii="ITC Stone Sans Std Medium" w:eastAsia="Times New Roman" w:hAnsi="ITC Stone Sans Std Medium" w:cs="Times New Roman"/>
          <w:sz w:val="22"/>
          <w:szCs w:val="22"/>
        </w:rPr>
        <w:t xml:space="preserve">reallocation of </w:t>
      </w:r>
      <w:r w:rsidRPr="00631133">
        <w:rPr>
          <w:rFonts w:ascii="ITC Stone Sans Std Medium" w:eastAsia="Times New Roman" w:hAnsi="ITC Stone Sans Std Medium" w:cs="Times New Roman"/>
          <w:sz w:val="22"/>
          <w:szCs w:val="22"/>
        </w:rPr>
        <w:t xml:space="preserve">resources from other programs within the department or college. </w:t>
      </w:r>
    </w:p>
    <w:p w14:paraId="0F2790DC" w14:textId="77777777" w:rsidR="00786DA5" w:rsidRPr="00631133" w:rsidRDefault="00786DA5" w:rsidP="003215E8">
      <w:pPr>
        <w:pStyle w:val="xl23"/>
        <w:pBdr>
          <w:bottom w:val="none" w:sz="0" w:space="0" w:color="auto"/>
        </w:pBdr>
        <w:spacing w:before="0" w:beforeAutospacing="0" w:after="0" w:afterAutospacing="0"/>
        <w:ind w:left="720"/>
        <w:rPr>
          <w:rFonts w:ascii="ITC Stone Sans Std Medium" w:eastAsia="Times New Roman" w:hAnsi="ITC Stone Sans Std Medium" w:cs="Times New Roman"/>
          <w:sz w:val="22"/>
          <w:szCs w:val="22"/>
        </w:rPr>
      </w:pPr>
    </w:p>
    <w:p w14:paraId="7BECEE5B" w14:textId="0BF63BAC" w:rsidR="008967B0" w:rsidRPr="00631133" w:rsidRDefault="00B96FFC" w:rsidP="004A63D5">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b/>
          <w:sz w:val="22"/>
          <w:szCs w:val="22"/>
        </w:rPr>
        <w:t>Enrollment Funding</w:t>
      </w:r>
      <w:r w:rsidRPr="00631133">
        <w:rPr>
          <w:rFonts w:ascii="ITC Stone Sans Std Medium" w:eastAsia="Times New Roman" w:hAnsi="ITC Stone Sans Std Medium" w:cs="Times New Roman"/>
          <w:sz w:val="22"/>
          <w:szCs w:val="22"/>
        </w:rPr>
        <w:t xml:space="preserve"> </w:t>
      </w:r>
      <w:r w:rsidR="00786DA5" w:rsidRPr="00631133">
        <w:rPr>
          <w:rFonts w:ascii="ITC Stone Sans Std Medium" w:eastAsia="Times New Roman" w:hAnsi="ITC Stone Sans Std Medium" w:cs="Times New Roman"/>
          <w:sz w:val="22"/>
          <w:szCs w:val="22"/>
        </w:rPr>
        <w:t>s</w:t>
      </w:r>
      <w:r w:rsidRPr="00631133">
        <w:rPr>
          <w:rFonts w:ascii="ITC Stone Sans Std Medium" w:eastAsia="Times New Roman" w:hAnsi="ITC Stone Sans Std Medium" w:cs="Times New Roman"/>
          <w:sz w:val="22"/>
          <w:szCs w:val="22"/>
        </w:rPr>
        <w:t xml:space="preserve">hould include </w:t>
      </w:r>
      <w:r w:rsidR="00B7748E" w:rsidRPr="00631133">
        <w:rPr>
          <w:rFonts w:ascii="ITC Stone Sans Std Medium" w:eastAsia="Times New Roman" w:hAnsi="ITC Stone Sans Std Medium" w:cs="Times New Roman"/>
          <w:sz w:val="22"/>
          <w:szCs w:val="22"/>
        </w:rPr>
        <w:t xml:space="preserve">new </w:t>
      </w:r>
      <w:r w:rsidR="007A11C2" w:rsidRPr="00631133">
        <w:rPr>
          <w:rFonts w:ascii="ITC Stone Sans Std Medium" w:eastAsia="Times New Roman" w:hAnsi="ITC Stone Sans Std Medium" w:cs="Times New Roman"/>
          <w:sz w:val="22"/>
          <w:szCs w:val="22"/>
        </w:rPr>
        <w:t>allocations</w:t>
      </w:r>
      <w:r w:rsidRPr="00631133">
        <w:rPr>
          <w:rFonts w:ascii="ITC Stone Sans Std Medium" w:eastAsia="Times New Roman" w:hAnsi="ITC Stone Sans Std Medium" w:cs="Times New Roman"/>
          <w:sz w:val="22"/>
          <w:szCs w:val="22"/>
        </w:rPr>
        <w:t xml:space="preserve"> expected from</w:t>
      </w:r>
      <w:r w:rsidR="00B7748E" w:rsidRPr="00631133">
        <w:rPr>
          <w:rFonts w:ascii="ITC Stone Sans Std Medium" w:eastAsia="Times New Roman" w:hAnsi="ITC Stone Sans Std Medium" w:cs="Times New Roman"/>
          <w:sz w:val="22"/>
          <w:szCs w:val="22"/>
        </w:rPr>
        <w:t xml:space="preserve"> increased </w:t>
      </w:r>
      <w:r w:rsidRPr="00631133">
        <w:rPr>
          <w:rFonts w:ascii="ITC Stone Sans Std Medium" w:eastAsia="Times New Roman" w:hAnsi="ITC Stone Sans Std Medium" w:cs="Times New Roman"/>
          <w:sz w:val="22"/>
          <w:szCs w:val="22"/>
        </w:rPr>
        <w:t xml:space="preserve">undergraduate enrollment funding </w:t>
      </w:r>
      <w:r w:rsidR="00C033B4">
        <w:rPr>
          <w:rFonts w:ascii="ITC Stone Sans Std Medium" w:eastAsia="Times New Roman" w:hAnsi="ITC Stone Sans Std Medium" w:cs="Times New Roman"/>
          <w:sz w:val="22"/>
          <w:szCs w:val="22"/>
        </w:rPr>
        <w:t xml:space="preserve">(EBB) </w:t>
      </w:r>
      <w:r w:rsidRPr="00631133">
        <w:rPr>
          <w:rFonts w:ascii="ITC Stone Sans Std Medium" w:eastAsia="Times New Roman" w:hAnsi="ITC Stone Sans Std Medium" w:cs="Times New Roman"/>
          <w:sz w:val="22"/>
          <w:szCs w:val="22"/>
        </w:rPr>
        <w:t>or graduate DDP funding.</w:t>
      </w:r>
      <w:r w:rsidR="008967B0" w:rsidRPr="00631133">
        <w:rPr>
          <w:rFonts w:ascii="ITC Stone Sans Std Medium" w:eastAsia="Times New Roman" w:hAnsi="ITC Stone Sans Std Medium" w:cs="Times New Roman"/>
          <w:sz w:val="22"/>
          <w:szCs w:val="22"/>
        </w:rPr>
        <w:t xml:space="preserve"> </w:t>
      </w:r>
    </w:p>
    <w:p w14:paraId="4B81203B" w14:textId="77777777" w:rsidR="008967B0" w:rsidRPr="00631133" w:rsidRDefault="008967B0" w:rsidP="008967B0">
      <w:pPr>
        <w:pStyle w:val="xl23"/>
        <w:pBdr>
          <w:bottom w:val="none" w:sz="0" w:space="0" w:color="auto"/>
        </w:pBdr>
        <w:spacing w:before="0" w:beforeAutospacing="0" w:after="0" w:afterAutospacing="0"/>
        <w:rPr>
          <w:rFonts w:ascii="ITC Stone Sans Std Medium" w:eastAsia="Times New Roman" w:hAnsi="ITC Stone Sans Std Medium" w:cs="Times New Roman"/>
          <w:sz w:val="22"/>
          <w:szCs w:val="22"/>
        </w:rPr>
      </w:pPr>
    </w:p>
    <w:p w14:paraId="33BE44FC" w14:textId="77777777" w:rsidR="008967B0" w:rsidRPr="00631133" w:rsidRDefault="00B63298" w:rsidP="00B63298">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 xml:space="preserve">The </w:t>
      </w:r>
      <w:r w:rsidR="008967B0" w:rsidRPr="00631133">
        <w:rPr>
          <w:rFonts w:ascii="ITC Stone Sans Std Medium" w:eastAsia="Times New Roman" w:hAnsi="ITC Stone Sans Std Medium" w:cs="Times New Roman"/>
          <w:b/>
          <w:sz w:val="22"/>
          <w:szCs w:val="22"/>
        </w:rPr>
        <w:t>New State Funds</w:t>
      </w:r>
      <w:r w:rsidR="008967B0" w:rsidRPr="00631133">
        <w:rPr>
          <w:rFonts w:ascii="ITC Stone Sans Std Medium" w:eastAsia="Times New Roman" w:hAnsi="ITC Stone Sans Std Medium" w:cs="Times New Roman"/>
          <w:sz w:val="22"/>
          <w:szCs w:val="22"/>
        </w:rPr>
        <w:t xml:space="preserve"> </w:t>
      </w:r>
      <w:r w:rsidR="00B7748E" w:rsidRPr="00631133">
        <w:rPr>
          <w:rFonts w:ascii="ITC Stone Sans Std Medium" w:eastAsia="Times New Roman" w:hAnsi="ITC Stone Sans Std Medium" w:cs="Times New Roman"/>
          <w:sz w:val="22"/>
          <w:szCs w:val="22"/>
        </w:rPr>
        <w:t xml:space="preserve">row </w:t>
      </w:r>
      <w:r w:rsidR="008967B0" w:rsidRPr="00631133">
        <w:rPr>
          <w:rFonts w:ascii="ITC Stone Sans Std Medium" w:eastAsia="Times New Roman" w:hAnsi="ITC Stone Sans Std Medium" w:cs="Times New Roman"/>
          <w:sz w:val="22"/>
          <w:szCs w:val="22"/>
        </w:rPr>
        <w:t xml:space="preserve">should only be shown as a source when a program will await the availability of new funds </w:t>
      </w:r>
      <w:r w:rsidRPr="00631133">
        <w:rPr>
          <w:rFonts w:ascii="ITC Stone Sans Std Medium" w:eastAsia="Times New Roman" w:hAnsi="ITC Stone Sans Std Medium" w:cs="Times New Roman"/>
          <w:sz w:val="22"/>
          <w:szCs w:val="22"/>
        </w:rPr>
        <w:t>through the State budget request process</w:t>
      </w:r>
      <w:r w:rsidR="00D00679" w:rsidRPr="00631133">
        <w:rPr>
          <w:rFonts w:ascii="ITC Stone Sans Std Medium" w:eastAsia="Times New Roman" w:hAnsi="ITC Stone Sans Std Medium" w:cs="Times New Roman"/>
          <w:sz w:val="22"/>
          <w:szCs w:val="22"/>
        </w:rPr>
        <w:t>.</w:t>
      </w:r>
      <w:r w:rsidRPr="00631133">
        <w:rPr>
          <w:rFonts w:ascii="ITC Stone Sans Std Medium" w:eastAsia="Times New Roman" w:hAnsi="ITC Stone Sans Std Medium" w:cs="Times New Roman"/>
          <w:sz w:val="22"/>
          <w:szCs w:val="22"/>
        </w:rPr>
        <w:t xml:space="preserve"> </w:t>
      </w:r>
      <w:r w:rsidR="000D666C" w:rsidRPr="00631133">
        <w:rPr>
          <w:rFonts w:ascii="ITC Stone Sans Std Medium" w:eastAsia="Times New Roman" w:hAnsi="ITC Stone Sans Std Medium" w:cs="Times New Roman"/>
          <w:sz w:val="22"/>
          <w:szCs w:val="22"/>
        </w:rPr>
        <w:t>(</w:t>
      </w:r>
      <w:r w:rsidRPr="00631133">
        <w:rPr>
          <w:rFonts w:ascii="ITC Stone Sans Std Medium" w:eastAsia="Times New Roman" w:hAnsi="ITC Stone Sans Std Medium" w:cs="Times New Roman"/>
          <w:sz w:val="22"/>
          <w:szCs w:val="22"/>
        </w:rPr>
        <w:t>New state funding is generally not an option as the legislature is not expected to increase appropriations for general enrollment.</w:t>
      </w:r>
      <w:r w:rsidR="000D666C" w:rsidRPr="00631133">
        <w:rPr>
          <w:rFonts w:ascii="ITC Stone Sans Std Medium" w:eastAsia="Times New Roman" w:hAnsi="ITC Stone Sans Std Medium" w:cs="Times New Roman"/>
          <w:sz w:val="22"/>
          <w:szCs w:val="22"/>
        </w:rPr>
        <w:t>)</w:t>
      </w:r>
      <w:r w:rsidRPr="00631133">
        <w:rPr>
          <w:rFonts w:ascii="ITC Stone Sans Std Medium" w:eastAsia="Times New Roman" w:hAnsi="ITC Stone Sans Std Medium" w:cs="Times New Roman"/>
          <w:sz w:val="22"/>
          <w:szCs w:val="22"/>
        </w:rPr>
        <w:t xml:space="preserve"> </w:t>
      </w:r>
      <w:r w:rsidR="008967B0" w:rsidRPr="00631133">
        <w:rPr>
          <w:rFonts w:ascii="ITC Stone Sans Std Medium" w:eastAsia="Times New Roman" w:hAnsi="ITC Stone Sans Std Medium" w:cs="Times New Roman"/>
          <w:sz w:val="22"/>
          <w:szCs w:val="22"/>
        </w:rPr>
        <w:t>Note that listing items in the New State Funds column does not imply or guarantee that these funds will be availa</w:t>
      </w:r>
      <w:r w:rsidRPr="00631133">
        <w:rPr>
          <w:rFonts w:ascii="ITC Stone Sans Std Medium" w:eastAsia="Times New Roman" w:hAnsi="ITC Stone Sans Std Medium" w:cs="Times New Roman"/>
          <w:sz w:val="22"/>
          <w:szCs w:val="22"/>
        </w:rPr>
        <w:t>ble.</w:t>
      </w:r>
    </w:p>
    <w:p w14:paraId="25695150" w14:textId="77777777" w:rsidR="00A010E4" w:rsidRPr="00631133" w:rsidRDefault="00A010E4" w:rsidP="003215E8">
      <w:pPr>
        <w:pStyle w:val="ListParagraph"/>
        <w:rPr>
          <w:rFonts w:ascii="ITC Stone Sans Std Medium" w:hAnsi="ITC Stone Sans Std Medium"/>
          <w:sz w:val="22"/>
          <w:szCs w:val="22"/>
        </w:rPr>
      </w:pPr>
    </w:p>
    <w:p w14:paraId="546134C4" w14:textId="77777777" w:rsidR="00A010E4" w:rsidRPr="00631133" w:rsidRDefault="00A010E4" w:rsidP="00B63298">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 xml:space="preserve">The </w:t>
      </w:r>
      <w:r w:rsidRPr="00631133">
        <w:rPr>
          <w:rFonts w:ascii="ITC Stone Sans Std Medium" w:eastAsia="Times New Roman" w:hAnsi="ITC Stone Sans Std Medium" w:cs="Times New Roman"/>
          <w:b/>
          <w:sz w:val="22"/>
          <w:szCs w:val="22"/>
        </w:rPr>
        <w:t>WSU Allocation</w:t>
      </w:r>
      <w:r w:rsidRPr="00631133">
        <w:rPr>
          <w:rFonts w:ascii="ITC Stone Sans Std Medium" w:eastAsia="Times New Roman" w:hAnsi="ITC Stone Sans Std Medium" w:cs="Times New Roman"/>
          <w:sz w:val="22"/>
          <w:szCs w:val="22"/>
        </w:rPr>
        <w:t xml:space="preserve"> row is to be used if funds are available to expand programming due to internal reallocations at the institution</w:t>
      </w:r>
      <w:r w:rsidR="000D666C" w:rsidRPr="00631133">
        <w:rPr>
          <w:rFonts w:ascii="ITC Stone Sans Std Medium" w:eastAsia="Times New Roman" w:hAnsi="ITC Stone Sans Std Medium" w:cs="Times New Roman"/>
          <w:sz w:val="22"/>
          <w:szCs w:val="22"/>
        </w:rPr>
        <w:t>al</w:t>
      </w:r>
      <w:r w:rsidRPr="00631133">
        <w:rPr>
          <w:rFonts w:ascii="ITC Stone Sans Std Medium" w:eastAsia="Times New Roman" w:hAnsi="ITC Stone Sans Std Medium" w:cs="Times New Roman"/>
          <w:sz w:val="22"/>
          <w:szCs w:val="22"/>
        </w:rPr>
        <w:t xml:space="preserve"> level</w:t>
      </w:r>
      <w:r w:rsidR="00225930" w:rsidRPr="00631133">
        <w:rPr>
          <w:rFonts w:ascii="ITC Stone Sans Std Medium" w:eastAsia="Times New Roman" w:hAnsi="ITC Stone Sans Std Medium" w:cs="Times New Roman"/>
          <w:sz w:val="22"/>
          <w:szCs w:val="22"/>
        </w:rPr>
        <w:t xml:space="preserve"> (“central”)</w:t>
      </w:r>
      <w:r w:rsidRPr="00631133">
        <w:rPr>
          <w:rFonts w:ascii="ITC Stone Sans Std Medium" w:eastAsia="Times New Roman" w:hAnsi="ITC Stone Sans Std Medium" w:cs="Times New Roman"/>
          <w:sz w:val="22"/>
          <w:szCs w:val="22"/>
        </w:rPr>
        <w:t>.</w:t>
      </w:r>
    </w:p>
    <w:p w14:paraId="303220B7" w14:textId="77777777" w:rsidR="00A010E4" w:rsidRPr="00631133" w:rsidRDefault="00A010E4" w:rsidP="003215E8">
      <w:pPr>
        <w:pStyle w:val="ListParagraph"/>
        <w:rPr>
          <w:rFonts w:ascii="ITC Stone Sans Std Medium" w:hAnsi="ITC Stone Sans Std Medium"/>
          <w:sz w:val="22"/>
          <w:szCs w:val="22"/>
        </w:rPr>
      </w:pPr>
    </w:p>
    <w:p w14:paraId="0E1DDA56" w14:textId="77777777" w:rsidR="00A010E4" w:rsidRPr="00631133" w:rsidRDefault="00A010E4" w:rsidP="00B63298">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b/>
          <w:sz w:val="22"/>
          <w:szCs w:val="22"/>
        </w:rPr>
        <w:t>Indirect Allocation</w:t>
      </w:r>
      <w:r w:rsidRPr="00631133">
        <w:rPr>
          <w:rFonts w:ascii="ITC Stone Sans Std Medium" w:eastAsia="Times New Roman" w:hAnsi="ITC Stone Sans Std Medium" w:cs="Times New Roman"/>
          <w:sz w:val="22"/>
          <w:szCs w:val="22"/>
        </w:rPr>
        <w:t xml:space="preserve"> is equal to the indirect cost burden to be absorbed centrally to provide support services for delivery of </w:t>
      </w:r>
      <w:r w:rsidR="000D666C" w:rsidRPr="00631133">
        <w:rPr>
          <w:rFonts w:ascii="ITC Stone Sans Std Medium" w:eastAsia="Times New Roman" w:hAnsi="ITC Stone Sans Std Medium" w:cs="Times New Roman"/>
          <w:sz w:val="22"/>
          <w:szCs w:val="22"/>
        </w:rPr>
        <w:t>the program.</w:t>
      </w:r>
    </w:p>
    <w:p w14:paraId="2A4DBE28" w14:textId="77777777" w:rsidR="000D666C" w:rsidRPr="00631133" w:rsidRDefault="000D666C" w:rsidP="003215E8">
      <w:pPr>
        <w:pStyle w:val="ListParagraph"/>
        <w:rPr>
          <w:rFonts w:ascii="ITC Stone Sans Std Medium" w:hAnsi="ITC Stone Sans Std Medium"/>
          <w:sz w:val="22"/>
          <w:szCs w:val="22"/>
        </w:rPr>
      </w:pPr>
    </w:p>
    <w:p w14:paraId="0384BEC1" w14:textId="77777777" w:rsidR="000D666C" w:rsidRPr="00631133" w:rsidRDefault="000D666C" w:rsidP="00B63298">
      <w:pPr>
        <w:pStyle w:val="xl23"/>
        <w:numPr>
          <w:ilvl w:val="0"/>
          <w:numId w:val="17"/>
        </w:numPr>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b/>
          <w:sz w:val="22"/>
          <w:szCs w:val="22"/>
        </w:rPr>
        <w:t>Other sources</w:t>
      </w:r>
      <w:r w:rsidRPr="00631133">
        <w:rPr>
          <w:rFonts w:ascii="ITC Stone Sans Std Medium" w:eastAsia="Times New Roman" w:hAnsi="ITC Stone Sans Std Medium" w:cs="Times New Roman"/>
          <w:sz w:val="22"/>
          <w:szCs w:val="22"/>
        </w:rPr>
        <w:t xml:space="preserve"> of funds should be described if listed.</w:t>
      </w:r>
    </w:p>
    <w:p w14:paraId="1696AAC3" w14:textId="77777777" w:rsidR="008967B0" w:rsidRPr="00631133" w:rsidRDefault="008967B0" w:rsidP="008967B0">
      <w:pPr>
        <w:pStyle w:val="xl23"/>
        <w:pBdr>
          <w:bottom w:val="none" w:sz="0" w:space="0" w:color="auto"/>
        </w:pBdr>
        <w:spacing w:before="0" w:beforeAutospacing="0" w:after="0" w:afterAutospacing="0"/>
        <w:rPr>
          <w:rFonts w:ascii="ITC Stone Sans Std Medium" w:eastAsia="Times New Roman" w:hAnsi="ITC Stone Sans Std Medium" w:cs="Times New Roman"/>
          <w:sz w:val="22"/>
          <w:szCs w:val="22"/>
        </w:rPr>
      </w:pPr>
    </w:p>
    <w:p w14:paraId="2D21BA9B" w14:textId="77777777" w:rsidR="008967B0" w:rsidRPr="00225930" w:rsidRDefault="0075108E" w:rsidP="008967B0">
      <w:pPr>
        <w:pStyle w:val="xl23"/>
        <w:pBdr>
          <w:bottom w:val="none" w:sz="0" w:space="0" w:color="auto"/>
        </w:pBdr>
        <w:spacing w:before="0" w:beforeAutospacing="0" w:after="0" w:afterAutospacing="0"/>
        <w:rPr>
          <w:rFonts w:ascii="ITC Stone Sans Std Medium" w:eastAsia="Times New Roman" w:hAnsi="ITC Stone Sans Std Medium" w:cs="Times New Roman"/>
          <w:sz w:val="22"/>
          <w:szCs w:val="22"/>
        </w:rPr>
      </w:pPr>
      <w:r w:rsidRPr="00631133">
        <w:rPr>
          <w:rFonts w:ascii="ITC Stone Sans Std Medium" w:eastAsia="Times New Roman" w:hAnsi="ITC Stone Sans Std Medium" w:cs="Times New Roman"/>
          <w:sz w:val="22"/>
          <w:szCs w:val="22"/>
        </w:rPr>
        <w:t>Revenue commitments from colleges, campuses or other sources must be documented.  Special arrangements outside normal budget policies must be documented.</w:t>
      </w:r>
    </w:p>
    <w:bookmarkEnd w:id="0"/>
    <w:bookmarkEnd w:id="1"/>
    <w:p w14:paraId="6B830D8A" w14:textId="1DB48BC8" w:rsidR="001C2119" w:rsidRPr="0075108E" w:rsidRDefault="00225930" w:rsidP="00271AF8">
      <w:pPr>
        <w:rPr>
          <w:rFonts w:ascii="ITC Stone Sans Std Medium" w:hAnsi="ITC Stone Sans Std Medium"/>
          <w:sz w:val="18"/>
          <w:szCs w:val="18"/>
        </w:rPr>
      </w:pPr>
      <w:r w:rsidRPr="0075108E">
        <w:rPr>
          <w:rFonts w:ascii="ITC Stone Sans Std Medium" w:hAnsi="ITC Stone Sans Std Medium"/>
          <w:sz w:val="18"/>
          <w:szCs w:val="18"/>
        </w:rPr>
        <w:t xml:space="preserve">Rev. </w:t>
      </w:r>
      <w:r w:rsidR="007406CF">
        <w:rPr>
          <w:rFonts w:ascii="ITC Stone Sans Std Medium" w:hAnsi="ITC Stone Sans Std Medium"/>
          <w:sz w:val="18"/>
          <w:szCs w:val="18"/>
        </w:rPr>
        <w:t>6.26.17</w:t>
      </w:r>
    </w:p>
    <w:sectPr w:rsidR="001C2119" w:rsidRPr="0075108E">
      <w:footerReference w:type="even" r:id="rId10"/>
      <w:footerReference w:type="default" r:id="rId11"/>
      <w:type w:val="nextColumn"/>
      <w:pgSz w:w="12240" w:h="15840" w:code="1"/>
      <w:pgMar w:top="1440" w:right="720"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6881" w14:textId="77777777" w:rsidR="000F5407" w:rsidRDefault="000F5407">
      <w:r>
        <w:separator/>
      </w:r>
    </w:p>
  </w:endnote>
  <w:endnote w:type="continuationSeparator" w:id="0">
    <w:p w14:paraId="348823C7" w14:textId="77777777" w:rsidR="000F5407" w:rsidRDefault="000F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 Stone Sans Std Medium">
    <w:altName w:val="Lucida Sans Unicode"/>
    <w:panose1 w:val="020B06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1C68" w14:textId="77777777" w:rsidR="00EA73F6" w:rsidRDefault="00EA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594BB" w14:textId="77777777" w:rsidR="00EA73F6" w:rsidRDefault="00EA7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311C6" w14:textId="119149AA" w:rsidR="00EA73F6" w:rsidRDefault="00EA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07">
      <w:rPr>
        <w:rStyle w:val="PageNumber"/>
        <w:noProof/>
      </w:rPr>
      <w:t>1</w:t>
    </w:r>
    <w:r>
      <w:rPr>
        <w:rStyle w:val="PageNumber"/>
      </w:rPr>
      <w:fldChar w:fldCharType="end"/>
    </w:r>
  </w:p>
  <w:p w14:paraId="05DDAB0E" w14:textId="77777777" w:rsidR="00EA73F6" w:rsidRDefault="00EA73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52CF" w14:textId="77777777" w:rsidR="000F5407" w:rsidRDefault="000F5407">
      <w:r>
        <w:separator/>
      </w:r>
    </w:p>
  </w:footnote>
  <w:footnote w:type="continuationSeparator" w:id="0">
    <w:p w14:paraId="32320200" w14:textId="77777777" w:rsidR="000F5407" w:rsidRDefault="000F5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74E4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C02E5"/>
    <w:multiLevelType w:val="hybridMultilevel"/>
    <w:tmpl w:val="96F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5D2702"/>
    <w:multiLevelType w:val="hybridMultilevel"/>
    <w:tmpl w:val="CEB80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A4776"/>
    <w:multiLevelType w:val="hybridMultilevel"/>
    <w:tmpl w:val="4F584FF6"/>
    <w:lvl w:ilvl="0" w:tplc="8F5668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A46E8"/>
    <w:multiLevelType w:val="hybridMultilevel"/>
    <w:tmpl w:val="DA045E1A"/>
    <w:lvl w:ilvl="0" w:tplc="0E9E1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E11EF"/>
    <w:multiLevelType w:val="hybridMultilevel"/>
    <w:tmpl w:val="6090D2E2"/>
    <w:lvl w:ilvl="0" w:tplc="53F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8582F"/>
    <w:multiLevelType w:val="hybridMultilevel"/>
    <w:tmpl w:val="80F0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62005"/>
    <w:multiLevelType w:val="hybridMultilevel"/>
    <w:tmpl w:val="0E4CB8F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7F1935"/>
    <w:multiLevelType w:val="hybridMultilevel"/>
    <w:tmpl w:val="5FCA5D8C"/>
    <w:lvl w:ilvl="0" w:tplc="0E9E1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E4907"/>
    <w:multiLevelType w:val="hybridMultilevel"/>
    <w:tmpl w:val="9E7A1E12"/>
    <w:lvl w:ilvl="0" w:tplc="53F4175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19CAE14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E520C"/>
    <w:multiLevelType w:val="hybridMultilevel"/>
    <w:tmpl w:val="9A3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7449F"/>
    <w:multiLevelType w:val="hybridMultilevel"/>
    <w:tmpl w:val="B588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86514"/>
    <w:multiLevelType w:val="hybridMultilevel"/>
    <w:tmpl w:val="FEC2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E5888"/>
    <w:multiLevelType w:val="hybridMultilevel"/>
    <w:tmpl w:val="2B547F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C207D3"/>
    <w:multiLevelType w:val="hybridMultilevel"/>
    <w:tmpl w:val="E26CF2DE"/>
    <w:lvl w:ilvl="0" w:tplc="CF5C97E4">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C364F9"/>
    <w:multiLevelType w:val="hybridMultilevel"/>
    <w:tmpl w:val="F2AC4770"/>
    <w:lvl w:ilvl="0" w:tplc="86C6F49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5A7BA8"/>
    <w:multiLevelType w:val="hybridMultilevel"/>
    <w:tmpl w:val="74A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B4CC7"/>
    <w:multiLevelType w:val="hybridMultilevel"/>
    <w:tmpl w:val="837EFE24"/>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136DC1"/>
    <w:multiLevelType w:val="hybridMultilevel"/>
    <w:tmpl w:val="BCB04B4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430AEF"/>
    <w:multiLevelType w:val="hybridMultilevel"/>
    <w:tmpl w:val="4D38BDDC"/>
    <w:lvl w:ilvl="0" w:tplc="4C4450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9"/>
  </w:num>
  <w:num w:numId="3">
    <w:abstractNumId w:val="20"/>
  </w:num>
  <w:num w:numId="4">
    <w:abstractNumId w:val="8"/>
  </w:num>
  <w:num w:numId="5">
    <w:abstractNumId w:val="21"/>
  </w:num>
  <w:num w:numId="6">
    <w:abstractNumId w:val="16"/>
  </w:num>
  <w:num w:numId="7">
    <w:abstractNumId w:val="3"/>
  </w:num>
  <w:num w:numId="8">
    <w:abstractNumId w:val="17"/>
  </w:num>
  <w:num w:numId="9">
    <w:abstractNumId w:val="15"/>
  </w:num>
  <w:num w:numId="10">
    <w:abstractNumId w:val="4"/>
  </w:num>
  <w:num w:numId="11">
    <w:abstractNumId w:val="12"/>
  </w:num>
  <w:num w:numId="12">
    <w:abstractNumId w:val="0"/>
  </w:num>
  <w:num w:numId="13">
    <w:abstractNumId w:val="18"/>
  </w:num>
  <w:num w:numId="14">
    <w:abstractNumId w:val="6"/>
  </w:num>
  <w:num w:numId="15">
    <w:abstractNumId w:val="10"/>
  </w:num>
  <w:num w:numId="16">
    <w:abstractNumId w:val="7"/>
  </w:num>
  <w:num w:numId="17">
    <w:abstractNumId w:val="11"/>
  </w:num>
  <w:num w:numId="18">
    <w:abstractNumId w:val="13"/>
  </w:num>
  <w:num w:numId="19">
    <w:abstractNumId w:val="14"/>
  </w:num>
  <w:num w:numId="20">
    <w:abstractNumId w:val="5"/>
  </w:num>
  <w:num w:numId="21">
    <w:abstractNumId w:val="9"/>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19"/>
    <w:rsid w:val="00003B51"/>
    <w:rsid w:val="000229DF"/>
    <w:rsid w:val="0003244F"/>
    <w:rsid w:val="00055E8B"/>
    <w:rsid w:val="00073A71"/>
    <w:rsid w:val="00090337"/>
    <w:rsid w:val="000B6589"/>
    <w:rsid w:val="000D0EBA"/>
    <w:rsid w:val="000D1E27"/>
    <w:rsid w:val="000D5224"/>
    <w:rsid w:val="000D666C"/>
    <w:rsid w:val="000F5407"/>
    <w:rsid w:val="00107733"/>
    <w:rsid w:val="00110198"/>
    <w:rsid w:val="00151C25"/>
    <w:rsid w:val="00163033"/>
    <w:rsid w:val="001755CC"/>
    <w:rsid w:val="00175D7A"/>
    <w:rsid w:val="00195DA2"/>
    <w:rsid w:val="001C2119"/>
    <w:rsid w:val="001D68B0"/>
    <w:rsid w:val="00225930"/>
    <w:rsid w:val="002413FF"/>
    <w:rsid w:val="0026029E"/>
    <w:rsid w:val="002626BD"/>
    <w:rsid w:val="00266C02"/>
    <w:rsid w:val="00271AF8"/>
    <w:rsid w:val="002832E9"/>
    <w:rsid w:val="00286DB4"/>
    <w:rsid w:val="00291328"/>
    <w:rsid w:val="002A359D"/>
    <w:rsid w:val="002A5DEA"/>
    <w:rsid w:val="002A68B8"/>
    <w:rsid w:val="002C2BAF"/>
    <w:rsid w:val="002C3E5E"/>
    <w:rsid w:val="002E6084"/>
    <w:rsid w:val="002F38F6"/>
    <w:rsid w:val="002F5EF7"/>
    <w:rsid w:val="002F66D8"/>
    <w:rsid w:val="003036D0"/>
    <w:rsid w:val="003215E8"/>
    <w:rsid w:val="003601AE"/>
    <w:rsid w:val="00366035"/>
    <w:rsid w:val="00386744"/>
    <w:rsid w:val="0039293A"/>
    <w:rsid w:val="003C3E22"/>
    <w:rsid w:val="003D6E21"/>
    <w:rsid w:val="003D725A"/>
    <w:rsid w:val="003E1D69"/>
    <w:rsid w:val="003F4F79"/>
    <w:rsid w:val="00412AF1"/>
    <w:rsid w:val="00415901"/>
    <w:rsid w:val="00423CC1"/>
    <w:rsid w:val="004247A1"/>
    <w:rsid w:val="004348ED"/>
    <w:rsid w:val="00434C1A"/>
    <w:rsid w:val="00454CA9"/>
    <w:rsid w:val="00456BA4"/>
    <w:rsid w:val="0046611D"/>
    <w:rsid w:val="004A0EB0"/>
    <w:rsid w:val="004A63D5"/>
    <w:rsid w:val="004B5F50"/>
    <w:rsid w:val="004C3E69"/>
    <w:rsid w:val="004D73D2"/>
    <w:rsid w:val="004E0E06"/>
    <w:rsid w:val="004F57A5"/>
    <w:rsid w:val="00504FA8"/>
    <w:rsid w:val="005100D4"/>
    <w:rsid w:val="005163E2"/>
    <w:rsid w:val="005208EB"/>
    <w:rsid w:val="00522565"/>
    <w:rsid w:val="005227D2"/>
    <w:rsid w:val="00533188"/>
    <w:rsid w:val="00542401"/>
    <w:rsid w:val="00542E89"/>
    <w:rsid w:val="0056635B"/>
    <w:rsid w:val="005723FF"/>
    <w:rsid w:val="005757FD"/>
    <w:rsid w:val="00581C51"/>
    <w:rsid w:val="00591D8C"/>
    <w:rsid w:val="00592594"/>
    <w:rsid w:val="005933A9"/>
    <w:rsid w:val="005A22CA"/>
    <w:rsid w:val="005B16AB"/>
    <w:rsid w:val="005B5354"/>
    <w:rsid w:val="005D2BAC"/>
    <w:rsid w:val="005E1BE4"/>
    <w:rsid w:val="005F6ED8"/>
    <w:rsid w:val="0060394E"/>
    <w:rsid w:val="00610BC7"/>
    <w:rsid w:val="00612CA7"/>
    <w:rsid w:val="00631133"/>
    <w:rsid w:val="006323E1"/>
    <w:rsid w:val="006330CE"/>
    <w:rsid w:val="00650B79"/>
    <w:rsid w:val="00664E82"/>
    <w:rsid w:val="00674DB2"/>
    <w:rsid w:val="00675603"/>
    <w:rsid w:val="00693B57"/>
    <w:rsid w:val="006A0ACD"/>
    <w:rsid w:val="006C3085"/>
    <w:rsid w:val="006C3C95"/>
    <w:rsid w:val="006C4A85"/>
    <w:rsid w:val="006C5C72"/>
    <w:rsid w:val="006D1BEC"/>
    <w:rsid w:val="006E1E7A"/>
    <w:rsid w:val="006E2353"/>
    <w:rsid w:val="006F31AF"/>
    <w:rsid w:val="00724E0D"/>
    <w:rsid w:val="00734366"/>
    <w:rsid w:val="007377CB"/>
    <w:rsid w:val="007406CF"/>
    <w:rsid w:val="00743143"/>
    <w:rsid w:val="0075108E"/>
    <w:rsid w:val="00755A9A"/>
    <w:rsid w:val="007642F3"/>
    <w:rsid w:val="00780FAA"/>
    <w:rsid w:val="00786DA5"/>
    <w:rsid w:val="007A11C2"/>
    <w:rsid w:val="007A7446"/>
    <w:rsid w:val="007B38FC"/>
    <w:rsid w:val="007C0220"/>
    <w:rsid w:val="008050BE"/>
    <w:rsid w:val="008113B2"/>
    <w:rsid w:val="008170ED"/>
    <w:rsid w:val="008214C3"/>
    <w:rsid w:val="00826F43"/>
    <w:rsid w:val="008351BF"/>
    <w:rsid w:val="008456A9"/>
    <w:rsid w:val="0085527E"/>
    <w:rsid w:val="00872C72"/>
    <w:rsid w:val="008930C5"/>
    <w:rsid w:val="008967B0"/>
    <w:rsid w:val="008A761C"/>
    <w:rsid w:val="008D4E5C"/>
    <w:rsid w:val="008F3BF1"/>
    <w:rsid w:val="00927555"/>
    <w:rsid w:val="00937019"/>
    <w:rsid w:val="00963CC1"/>
    <w:rsid w:val="0096667F"/>
    <w:rsid w:val="00982426"/>
    <w:rsid w:val="0098437C"/>
    <w:rsid w:val="00992DCD"/>
    <w:rsid w:val="009B2006"/>
    <w:rsid w:val="009C414A"/>
    <w:rsid w:val="009F7D06"/>
    <w:rsid w:val="00A010E4"/>
    <w:rsid w:val="00A10045"/>
    <w:rsid w:val="00A14D97"/>
    <w:rsid w:val="00A17664"/>
    <w:rsid w:val="00A45993"/>
    <w:rsid w:val="00A72A1D"/>
    <w:rsid w:val="00A85871"/>
    <w:rsid w:val="00A92046"/>
    <w:rsid w:val="00A9642D"/>
    <w:rsid w:val="00AA7958"/>
    <w:rsid w:val="00AC00BA"/>
    <w:rsid w:val="00AC515B"/>
    <w:rsid w:val="00AD6997"/>
    <w:rsid w:val="00B14705"/>
    <w:rsid w:val="00B24471"/>
    <w:rsid w:val="00B63298"/>
    <w:rsid w:val="00B7748E"/>
    <w:rsid w:val="00B87209"/>
    <w:rsid w:val="00B9320B"/>
    <w:rsid w:val="00B96FFC"/>
    <w:rsid w:val="00BA05D7"/>
    <w:rsid w:val="00BA0B33"/>
    <w:rsid w:val="00BB15E5"/>
    <w:rsid w:val="00BC483C"/>
    <w:rsid w:val="00BC56B0"/>
    <w:rsid w:val="00BD1B82"/>
    <w:rsid w:val="00BD273A"/>
    <w:rsid w:val="00BF7611"/>
    <w:rsid w:val="00C033B4"/>
    <w:rsid w:val="00C706BD"/>
    <w:rsid w:val="00CB0741"/>
    <w:rsid w:val="00CD2220"/>
    <w:rsid w:val="00CD4D59"/>
    <w:rsid w:val="00CD68F9"/>
    <w:rsid w:val="00CE7547"/>
    <w:rsid w:val="00D00679"/>
    <w:rsid w:val="00D050A4"/>
    <w:rsid w:val="00D154D8"/>
    <w:rsid w:val="00D35CC9"/>
    <w:rsid w:val="00D36609"/>
    <w:rsid w:val="00D43F0F"/>
    <w:rsid w:val="00D83C58"/>
    <w:rsid w:val="00DB765B"/>
    <w:rsid w:val="00DD66EA"/>
    <w:rsid w:val="00DE732D"/>
    <w:rsid w:val="00DF5B04"/>
    <w:rsid w:val="00E104C9"/>
    <w:rsid w:val="00E12157"/>
    <w:rsid w:val="00E2326C"/>
    <w:rsid w:val="00E2479D"/>
    <w:rsid w:val="00E25FBB"/>
    <w:rsid w:val="00E3169D"/>
    <w:rsid w:val="00E56E44"/>
    <w:rsid w:val="00E62274"/>
    <w:rsid w:val="00E63E83"/>
    <w:rsid w:val="00EA73F6"/>
    <w:rsid w:val="00EB48DB"/>
    <w:rsid w:val="00ED7C83"/>
    <w:rsid w:val="00F03507"/>
    <w:rsid w:val="00F20FF2"/>
    <w:rsid w:val="00F27814"/>
    <w:rsid w:val="00F33213"/>
    <w:rsid w:val="00F377C3"/>
    <w:rsid w:val="00F519A0"/>
    <w:rsid w:val="00F601FE"/>
    <w:rsid w:val="00F7348E"/>
    <w:rsid w:val="00F859BF"/>
    <w:rsid w:val="00F872D1"/>
    <w:rsid w:val="00F97492"/>
    <w:rsid w:val="00FA1DE6"/>
    <w:rsid w:val="00FA384B"/>
    <w:rsid w:val="00FB05C1"/>
    <w:rsid w:val="00FD33FB"/>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f8f8f8"/>
    </o:shapedefaults>
    <o:shapelayout v:ext="edit">
      <o:idmap v:ext="edit" data="1"/>
    </o:shapelayout>
  </w:shapeDefaults>
  <w:decimalSymbol w:val="."/>
  <w:listSeparator w:val=","/>
  <w14:docId w14:val="25A9DD9A"/>
  <w15:docId w15:val="{84826624-C884-4BB1-BD21-EBEC7DD9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outlineLvl w:val="2"/>
    </w:pPr>
    <w:rPr>
      <w:sz w:val="24"/>
    </w:rPr>
  </w:style>
  <w:style w:type="paragraph" w:styleId="Heading4">
    <w:name w:val="heading 4"/>
    <w:basedOn w:val="Normal"/>
    <w:next w:val="Normal"/>
    <w:qFormat/>
    <w:pPr>
      <w:keepNext/>
      <w:jc w:val="center"/>
      <w:outlineLvl w:val="3"/>
    </w:pPr>
    <w:rPr>
      <w:b/>
      <w:bCs/>
      <w:sz w:val="24"/>
      <w:szCs w:val="24"/>
    </w:rPr>
  </w:style>
  <w:style w:type="paragraph" w:styleId="Heading5">
    <w:name w:val="heading 5"/>
    <w:basedOn w:val="Normal"/>
    <w:next w:val="Normal"/>
    <w:qFormat/>
    <w:pPr>
      <w:keepNext/>
      <w:ind w:firstLine="360"/>
      <w:outlineLvl w:val="4"/>
    </w:pPr>
    <w:rPr>
      <w:sz w:val="24"/>
    </w:rPr>
  </w:style>
  <w:style w:type="paragraph" w:styleId="Heading6">
    <w:name w:val="heading 6"/>
    <w:basedOn w:val="Normal"/>
    <w:next w:val="Normal"/>
    <w:qFormat/>
    <w:pPr>
      <w:keepNext/>
      <w:numPr>
        <w:numId w:val="6"/>
      </w:numPr>
      <w:outlineLvl w:val="5"/>
    </w:pPr>
    <w:rPr>
      <w:sz w:val="24"/>
    </w:rPr>
  </w:style>
  <w:style w:type="paragraph" w:styleId="Heading7">
    <w:name w:val="heading 7"/>
    <w:basedOn w:val="Normal"/>
    <w:next w:val="Normal"/>
    <w:qFormat/>
    <w:pPr>
      <w:keepNext/>
      <w:tabs>
        <w:tab w:val="left" w:pos="1080"/>
      </w:tabs>
      <w:spacing w:after="240"/>
      <w:jc w:val="both"/>
      <w:outlineLvl w:val="6"/>
    </w:pPr>
    <w:rPr>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b/>
      <w:bCs/>
    </w:rPr>
  </w:style>
  <w:style w:type="paragraph" w:styleId="BodyTextIndent">
    <w:name w:val="Body Text Indent"/>
    <w:basedOn w:val="Normal"/>
    <w:pPr>
      <w:ind w:left="360"/>
    </w:pPr>
    <w:rPr>
      <w:sz w:val="24"/>
    </w:rPr>
  </w:style>
  <w:style w:type="paragraph" w:styleId="BodyText3">
    <w:name w:val="Body Text 3"/>
    <w:basedOn w:val="Normal"/>
    <w:rPr>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216"/>
    </w:pPr>
    <w:rPr>
      <w:sz w:val="28"/>
    </w:rPr>
  </w:style>
  <w:style w:type="paragraph" w:styleId="NormalWeb">
    <w:name w:val="Normal (Web)"/>
    <w:basedOn w:val="Normal"/>
    <w:pPr>
      <w:spacing w:before="100" w:beforeAutospacing="1" w:after="100" w:afterAutospacing="1"/>
    </w:pPr>
    <w:rPr>
      <w:color w:val="000000"/>
      <w:sz w:val="24"/>
      <w:szCs w:val="24"/>
    </w:rPr>
  </w:style>
  <w:style w:type="character" w:styleId="Hyperlink">
    <w:name w:val="Hyperlink"/>
    <w:rPr>
      <w:color w:val="0000FF"/>
      <w:u w:val="single"/>
    </w:rPr>
  </w:style>
  <w:style w:type="paragraph" w:styleId="BlockText">
    <w:name w:val="Block Text"/>
    <w:basedOn w:val="Normal"/>
    <w:pPr>
      <w:tabs>
        <w:tab w:val="left" w:pos="740"/>
        <w:tab w:val="left" w:pos="740"/>
      </w:tabs>
      <w:ind w:left="690" w:right="720"/>
    </w:pPr>
    <w:rPr>
      <w:b/>
    </w:rPr>
  </w:style>
  <w:style w:type="paragraph" w:styleId="BodyTextIndent3">
    <w:name w:val="Body Text Indent 3"/>
    <w:basedOn w:val="Normal"/>
    <w:pPr>
      <w:ind w:firstLine="720"/>
    </w:pPr>
  </w:style>
  <w:style w:type="paragraph" w:customStyle="1" w:styleId="xl23">
    <w:name w:val="xl23"/>
    <w:basedOn w:val="Normal"/>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
    <w:name w:val="List Bullet"/>
    <w:basedOn w:val="Normal"/>
    <w:rsid w:val="00271AF8"/>
    <w:pPr>
      <w:numPr>
        <w:numId w:val="12"/>
      </w:numPr>
    </w:pPr>
    <w:rPr>
      <w:sz w:val="24"/>
      <w:szCs w:val="24"/>
    </w:rPr>
  </w:style>
  <w:style w:type="character" w:styleId="FollowedHyperlink">
    <w:name w:val="FollowedHyperlink"/>
    <w:rsid w:val="00BF7611"/>
    <w:rPr>
      <w:color w:val="800080"/>
      <w:u w:val="single"/>
    </w:rPr>
  </w:style>
  <w:style w:type="paragraph" w:styleId="BalloonText">
    <w:name w:val="Balloon Text"/>
    <w:basedOn w:val="Normal"/>
    <w:link w:val="BalloonTextChar"/>
    <w:rsid w:val="006C3085"/>
    <w:rPr>
      <w:rFonts w:ascii="Tahoma" w:hAnsi="Tahoma" w:cs="Tahoma"/>
      <w:sz w:val="16"/>
      <w:szCs w:val="16"/>
    </w:rPr>
  </w:style>
  <w:style w:type="character" w:customStyle="1" w:styleId="BalloonTextChar">
    <w:name w:val="Balloon Text Char"/>
    <w:link w:val="BalloonText"/>
    <w:rsid w:val="006C3085"/>
    <w:rPr>
      <w:rFonts w:ascii="Tahoma" w:hAnsi="Tahoma" w:cs="Tahoma"/>
      <w:sz w:val="16"/>
      <w:szCs w:val="16"/>
    </w:rPr>
  </w:style>
  <w:style w:type="paragraph" w:styleId="ListParagraph">
    <w:name w:val="List Paragraph"/>
    <w:basedOn w:val="Normal"/>
    <w:uiPriority w:val="34"/>
    <w:qFormat/>
    <w:rsid w:val="00AC00BA"/>
    <w:pPr>
      <w:ind w:left="720"/>
    </w:pPr>
    <w:rPr>
      <w:rFonts w:ascii="Arial" w:hAnsi="Arial"/>
      <w:sz w:val="24"/>
      <w:szCs w:val="24"/>
    </w:rPr>
  </w:style>
  <w:style w:type="paragraph" w:styleId="PlainText">
    <w:name w:val="Plain Text"/>
    <w:basedOn w:val="Normal"/>
    <w:link w:val="PlainTextChar"/>
    <w:uiPriority w:val="99"/>
    <w:unhideWhenUsed/>
    <w:rsid w:val="00F20FF2"/>
    <w:rPr>
      <w:rFonts w:ascii="Consolas" w:eastAsia="Calibri" w:hAnsi="Consolas"/>
      <w:sz w:val="21"/>
      <w:szCs w:val="21"/>
    </w:rPr>
  </w:style>
  <w:style w:type="character" w:customStyle="1" w:styleId="PlainTextChar">
    <w:name w:val="Plain Text Char"/>
    <w:link w:val="PlainText"/>
    <w:uiPriority w:val="99"/>
    <w:rsid w:val="00F20FF2"/>
    <w:rPr>
      <w:rFonts w:ascii="Consolas" w:eastAsia="Calibri" w:hAnsi="Consolas"/>
      <w:sz w:val="21"/>
      <w:szCs w:val="21"/>
    </w:rPr>
  </w:style>
  <w:style w:type="paragraph" w:styleId="TOCHeading">
    <w:name w:val="TOC Heading"/>
    <w:basedOn w:val="Heading1"/>
    <w:next w:val="Normal"/>
    <w:uiPriority w:val="39"/>
    <w:semiHidden/>
    <w:unhideWhenUsed/>
    <w:qFormat/>
    <w:rsid w:val="00E63E83"/>
    <w:pPr>
      <w:keepLines/>
      <w:spacing w:before="480" w:line="276" w:lineRule="auto"/>
      <w:outlineLvl w:val="9"/>
    </w:pPr>
    <w:rPr>
      <w:rFonts w:ascii="Cambria" w:eastAsia="MS Gothic" w:hAnsi="Cambria"/>
      <w:b/>
      <w:bCs/>
      <w:color w:val="365F91"/>
      <w:sz w:val="28"/>
      <w:szCs w:val="28"/>
      <w:lang w:eastAsia="ja-JP"/>
      <w14:shadow w14:blurRad="0" w14:dist="0" w14:dir="0" w14:sx="0" w14:sy="0" w14:kx="0" w14:ky="0" w14:algn="none">
        <w14:srgbClr w14:val="000000"/>
      </w14:shadow>
    </w:rPr>
  </w:style>
  <w:style w:type="paragraph" w:styleId="TOC1">
    <w:name w:val="toc 1"/>
    <w:basedOn w:val="Normal"/>
    <w:next w:val="Normal"/>
    <w:autoRedefine/>
    <w:uiPriority w:val="39"/>
    <w:qFormat/>
    <w:rsid w:val="00073A71"/>
    <w:pPr>
      <w:tabs>
        <w:tab w:val="right" w:leader="dot" w:pos="10512"/>
      </w:tabs>
      <w:ind w:left="216"/>
    </w:pPr>
  </w:style>
  <w:style w:type="paragraph" w:styleId="TOC3">
    <w:name w:val="toc 3"/>
    <w:basedOn w:val="Normal"/>
    <w:next w:val="Normal"/>
    <w:autoRedefine/>
    <w:uiPriority w:val="39"/>
    <w:qFormat/>
    <w:rsid w:val="00073A71"/>
    <w:pPr>
      <w:tabs>
        <w:tab w:val="right" w:leader="dot" w:pos="10512"/>
      </w:tabs>
      <w:ind w:left="216"/>
    </w:pPr>
    <w:rPr>
      <w:b/>
    </w:rPr>
  </w:style>
  <w:style w:type="paragraph" w:styleId="TOC2">
    <w:name w:val="toc 2"/>
    <w:basedOn w:val="Normal"/>
    <w:next w:val="Normal"/>
    <w:autoRedefine/>
    <w:uiPriority w:val="39"/>
    <w:qFormat/>
    <w:rsid w:val="00E63E83"/>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1310">
      <w:bodyDiv w:val="1"/>
      <w:marLeft w:val="0"/>
      <w:marRight w:val="0"/>
      <w:marTop w:val="0"/>
      <w:marBottom w:val="0"/>
      <w:divBdr>
        <w:top w:val="none" w:sz="0" w:space="0" w:color="auto"/>
        <w:left w:val="none" w:sz="0" w:space="0" w:color="auto"/>
        <w:bottom w:val="none" w:sz="0" w:space="0" w:color="auto"/>
        <w:right w:val="none" w:sz="0" w:space="0" w:color="auto"/>
      </w:divBdr>
    </w:div>
    <w:div w:id="299847668">
      <w:bodyDiv w:val="1"/>
      <w:marLeft w:val="0"/>
      <w:marRight w:val="0"/>
      <w:marTop w:val="0"/>
      <w:marBottom w:val="0"/>
      <w:divBdr>
        <w:top w:val="none" w:sz="0" w:space="0" w:color="auto"/>
        <w:left w:val="none" w:sz="0" w:space="0" w:color="auto"/>
        <w:bottom w:val="none" w:sz="0" w:space="0" w:color="auto"/>
        <w:right w:val="none" w:sz="0" w:space="0" w:color="auto"/>
      </w:divBdr>
    </w:div>
    <w:div w:id="379864642">
      <w:bodyDiv w:val="1"/>
      <w:marLeft w:val="0"/>
      <w:marRight w:val="0"/>
      <w:marTop w:val="0"/>
      <w:marBottom w:val="0"/>
      <w:divBdr>
        <w:top w:val="none" w:sz="0" w:space="0" w:color="auto"/>
        <w:left w:val="none" w:sz="0" w:space="0" w:color="auto"/>
        <w:bottom w:val="none" w:sz="0" w:space="0" w:color="auto"/>
        <w:right w:val="none" w:sz="0" w:space="0" w:color="auto"/>
      </w:divBdr>
    </w:div>
    <w:div w:id="1080324006">
      <w:bodyDiv w:val="1"/>
      <w:marLeft w:val="0"/>
      <w:marRight w:val="0"/>
      <w:marTop w:val="0"/>
      <w:marBottom w:val="0"/>
      <w:divBdr>
        <w:top w:val="none" w:sz="0" w:space="0" w:color="auto"/>
        <w:left w:val="none" w:sz="0" w:space="0" w:color="auto"/>
        <w:bottom w:val="none" w:sz="0" w:space="0" w:color="auto"/>
        <w:right w:val="none" w:sz="0" w:space="0" w:color="auto"/>
      </w:divBdr>
    </w:div>
    <w:div w:id="2000846212">
      <w:bodyDiv w:val="1"/>
      <w:marLeft w:val="0"/>
      <w:marRight w:val="0"/>
      <w:marTop w:val="0"/>
      <w:marBottom w:val="0"/>
      <w:divBdr>
        <w:top w:val="none" w:sz="0" w:space="0" w:color="auto"/>
        <w:left w:val="none" w:sz="0" w:space="0" w:color="auto"/>
        <w:bottom w:val="none" w:sz="0" w:space="0" w:color="auto"/>
        <w:right w:val="none" w:sz="0" w:space="0" w:color="auto"/>
      </w:divBdr>
    </w:div>
    <w:div w:id="20821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expenditurestudy/default.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dget.wsu.edu/budget-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C4DC-8B86-4445-B390-0811D294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Student Publications/WSU</Company>
  <LinksUpToDate>false</LinksUpToDate>
  <CharactersWithSpaces>5774</CharactersWithSpaces>
  <SharedDoc>false</SharedDoc>
  <HLinks>
    <vt:vector size="30" baseType="variant">
      <vt:variant>
        <vt:i4>4325502</vt:i4>
      </vt:variant>
      <vt:variant>
        <vt:i4>18</vt:i4>
      </vt:variant>
      <vt:variant>
        <vt:i4>0</vt:i4>
      </vt:variant>
      <vt:variant>
        <vt:i4>5</vt:i4>
      </vt:variant>
      <vt:variant>
        <vt:lpwstr>http://www.css.wsu.edu/overview/ugrad_assessment/index.html</vt:lpwstr>
      </vt:variant>
      <vt:variant>
        <vt:lpwstr/>
      </vt:variant>
      <vt:variant>
        <vt:i4>2621442</vt:i4>
      </vt:variant>
      <vt:variant>
        <vt:i4>15</vt:i4>
      </vt:variant>
      <vt:variant>
        <vt:i4>0</vt:i4>
      </vt:variant>
      <vt:variant>
        <vt:i4>5</vt:i4>
      </vt:variant>
      <vt:variant>
        <vt:lpwstr>http://www.budget.wsu.edu/Cost_template.xls</vt:lpwstr>
      </vt:variant>
      <vt:variant>
        <vt:lpwstr/>
      </vt:variant>
      <vt:variant>
        <vt:i4>2621442</vt:i4>
      </vt:variant>
      <vt:variant>
        <vt:i4>12</vt:i4>
      </vt:variant>
      <vt:variant>
        <vt:i4>0</vt:i4>
      </vt:variant>
      <vt:variant>
        <vt:i4>5</vt:i4>
      </vt:variant>
      <vt:variant>
        <vt:lpwstr>http://www.budget.wsu.edu/Cost_template.xls</vt:lpwstr>
      </vt:variant>
      <vt:variant>
        <vt:lpwstr/>
      </vt:variant>
      <vt:variant>
        <vt:i4>2621442</vt:i4>
      </vt:variant>
      <vt:variant>
        <vt:i4>9</vt:i4>
      </vt:variant>
      <vt:variant>
        <vt:i4>0</vt:i4>
      </vt:variant>
      <vt:variant>
        <vt:i4>5</vt:i4>
      </vt:variant>
      <vt:variant>
        <vt:lpwstr>http://www.budget.wsu.edu/Cost_template.xls</vt:lpwstr>
      </vt:variant>
      <vt:variant>
        <vt:lpwstr/>
      </vt:variant>
      <vt:variant>
        <vt:i4>7340111</vt:i4>
      </vt:variant>
      <vt:variant>
        <vt:i4>0</vt:i4>
      </vt:variant>
      <vt:variant>
        <vt:i4>0</vt:i4>
      </vt:variant>
      <vt:variant>
        <vt:i4>5</vt:i4>
      </vt:variant>
      <vt:variant>
        <vt:lpwstr>mailto:donnac@wsu.edu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Jane C. Sherman</dc:creator>
  <cp:lastModifiedBy>Wack, Mary</cp:lastModifiedBy>
  <cp:revision>2</cp:revision>
  <cp:lastPrinted>2015-06-09T16:59:00Z</cp:lastPrinted>
  <dcterms:created xsi:type="dcterms:W3CDTF">2017-07-05T15:53:00Z</dcterms:created>
  <dcterms:modified xsi:type="dcterms:W3CDTF">2017-07-05T15:53:00Z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