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A1553" w14:textId="77777777" w:rsidR="00FD3B97" w:rsidRDefault="00FD3B97" w:rsidP="00A32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42BA89B" w14:textId="32992701" w:rsidR="00A32AD8" w:rsidRDefault="00E164DB" w:rsidP="00A32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WSU </w:t>
      </w:r>
      <w:r w:rsidR="00153A8D">
        <w:rPr>
          <w:rFonts w:ascii="Times New Roman" w:hAnsi="Times New Roman" w:cs="Times New Roman"/>
          <w:b/>
          <w:sz w:val="28"/>
          <w:szCs w:val="28"/>
        </w:rPr>
        <w:t xml:space="preserve">PULLMAN </w:t>
      </w:r>
      <w:r w:rsidR="00DC7B2F">
        <w:rPr>
          <w:rFonts w:ascii="Times New Roman" w:hAnsi="Times New Roman" w:cs="Times New Roman"/>
          <w:b/>
          <w:sz w:val="28"/>
          <w:szCs w:val="28"/>
        </w:rPr>
        <w:t xml:space="preserve">UNIVERSITY </w:t>
      </w:r>
      <w:r w:rsidR="00A32AD8" w:rsidRPr="00A32AD8">
        <w:rPr>
          <w:rFonts w:ascii="Times New Roman" w:hAnsi="Times New Roman" w:cs="Times New Roman"/>
          <w:b/>
          <w:sz w:val="28"/>
          <w:szCs w:val="28"/>
        </w:rPr>
        <w:t>CLAS</w:t>
      </w:r>
      <w:r w:rsidR="0011679F">
        <w:rPr>
          <w:rFonts w:ascii="Times New Roman" w:hAnsi="Times New Roman" w:cs="Times New Roman"/>
          <w:b/>
          <w:sz w:val="28"/>
          <w:szCs w:val="28"/>
        </w:rPr>
        <w:t>S</w:t>
      </w:r>
      <w:r w:rsidR="00A32AD8" w:rsidRPr="00A32AD8">
        <w:rPr>
          <w:rFonts w:ascii="Times New Roman" w:hAnsi="Times New Roman" w:cs="Times New Roman"/>
          <w:b/>
          <w:sz w:val="28"/>
          <w:szCs w:val="28"/>
        </w:rPr>
        <w:t xml:space="preserve">ROOM </w:t>
      </w:r>
      <w:r w:rsidR="00DC7B2F">
        <w:rPr>
          <w:rFonts w:ascii="Times New Roman" w:hAnsi="Times New Roman" w:cs="Times New Roman"/>
          <w:b/>
          <w:sz w:val="28"/>
          <w:szCs w:val="28"/>
        </w:rPr>
        <w:t>STATUS</w:t>
      </w:r>
      <w:r w:rsidR="00891A37">
        <w:rPr>
          <w:rFonts w:ascii="Times New Roman" w:hAnsi="Times New Roman" w:cs="Times New Roman"/>
          <w:b/>
          <w:sz w:val="28"/>
          <w:szCs w:val="28"/>
        </w:rPr>
        <w:t xml:space="preserve"> - FALL 20</w:t>
      </w:r>
      <w:r w:rsidR="003F5760">
        <w:rPr>
          <w:rFonts w:ascii="Times New Roman" w:hAnsi="Times New Roman" w:cs="Times New Roman"/>
          <w:b/>
          <w:sz w:val="28"/>
          <w:szCs w:val="28"/>
        </w:rPr>
        <w:t>1</w:t>
      </w:r>
      <w:r w:rsidR="00AF6458">
        <w:rPr>
          <w:rFonts w:ascii="Times New Roman" w:hAnsi="Times New Roman" w:cs="Times New Roman"/>
          <w:b/>
          <w:sz w:val="28"/>
          <w:szCs w:val="28"/>
        </w:rPr>
        <w:t>9</w:t>
      </w:r>
      <w:r w:rsidR="00891A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1D3767" w14:textId="77777777" w:rsidR="00B013DB" w:rsidRDefault="00B013DB" w:rsidP="00A32A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F024C5" w14:textId="77777777" w:rsidR="00A32AD8" w:rsidRPr="00D351E0" w:rsidRDefault="00A32AD8" w:rsidP="00A32AD8">
      <w:pPr>
        <w:rPr>
          <w:rFonts w:ascii="Times New Roman" w:hAnsi="Times New Roman" w:cs="Times New Roman"/>
          <w:b/>
          <w:sz w:val="20"/>
          <w:szCs w:val="20"/>
        </w:rPr>
      </w:pPr>
    </w:p>
    <w:p w14:paraId="5CBF409A" w14:textId="77777777" w:rsidR="001B7B14" w:rsidRPr="00A00983" w:rsidRDefault="001B7B14" w:rsidP="00A32AD8">
      <w:pPr>
        <w:rPr>
          <w:rFonts w:ascii="Times New Roman" w:hAnsi="Times New Roman" w:cs="Times New Roman"/>
          <w:b/>
          <w:sz w:val="24"/>
          <w:szCs w:val="24"/>
        </w:rPr>
        <w:sectPr w:rsidR="001B7B14" w:rsidRPr="00A00983" w:rsidSect="00356D24">
          <w:pgSz w:w="12240" w:h="15840"/>
          <w:pgMar w:top="720" w:right="1440" w:bottom="576" w:left="1440" w:header="288" w:footer="0" w:gutter="0"/>
          <w:cols w:space="720"/>
          <w:docGrid w:linePitch="360"/>
        </w:sectPr>
      </w:pPr>
    </w:p>
    <w:p w14:paraId="51CE10F7" w14:textId="77777777" w:rsidR="00C70369" w:rsidRDefault="006F1832" w:rsidP="001209E0">
      <w:pPr>
        <w:rPr>
          <w:rFonts w:ascii="Times New Roman" w:hAnsi="Times New Roman" w:cs="Times New Roman"/>
          <w:b/>
          <w:sz w:val="24"/>
          <w:szCs w:val="24"/>
        </w:rPr>
      </w:pPr>
      <w:r w:rsidRPr="00515F7D">
        <w:rPr>
          <w:rFonts w:ascii="Times New Roman" w:hAnsi="Times New Roman" w:cs="Times New Roman"/>
          <w:b/>
          <w:sz w:val="24"/>
          <w:szCs w:val="24"/>
          <w:u w:val="single"/>
        </w:rPr>
        <w:t>General University Classrooms: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01FAA35" w14:textId="29E101AE" w:rsidR="004C22F3" w:rsidRPr="00D95F37" w:rsidRDefault="004C22F3" w:rsidP="001209E0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6E7629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is</w:t>
      </w:r>
      <w:r w:rsidR="006E76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fall s</w:t>
      </w:r>
      <w:r w:rsidRPr="00E57329">
        <w:rPr>
          <w:rFonts w:ascii="Times New Roman" w:hAnsi="Times New Roman" w:cs="Times New Roman"/>
          <w:b/>
          <w:sz w:val="24"/>
          <w:szCs w:val="24"/>
        </w:rPr>
        <w:t>emester’s statistics show</w:t>
      </w:r>
      <w:r w:rsidR="008420C0" w:rsidRPr="00E57329">
        <w:rPr>
          <w:rFonts w:ascii="Times New Roman" w:hAnsi="Times New Roman" w:cs="Times New Roman"/>
          <w:b/>
          <w:sz w:val="24"/>
          <w:szCs w:val="24"/>
        </w:rPr>
        <w:t xml:space="preserve"> Pullman</w:t>
      </w:r>
      <w:r w:rsidR="00F87BB6" w:rsidRPr="00E5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0B4" w:rsidRPr="00E57329"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 w:rsidR="00F87BB6" w:rsidRPr="00E57329">
        <w:rPr>
          <w:rFonts w:ascii="Times New Roman" w:hAnsi="Times New Roman" w:cs="Times New Roman"/>
          <w:b/>
          <w:sz w:val="24"/>
          <w:szCs w:val="24"/>
        </w:rPr>
        <w:t xml:space="preserve">classroom usage </w:t>
      </w:r>
      <w:r w:rsidRPr="00E57329">
        <w:rPr>
          <w:rFonts w:ascii="Times New Roman" w:hAnsi="Times New Roman" w:cs="Times New Roman"/>
          <w:b/>
          <w:sz w:val="24"/>
          <w:szCs w:val="24"/>
        </w:rPr>
        <w:t xml:space="preserve">slightly higher than </w:t>
      </w:r>
      <w:r w:rsidR="008420C0" w:rsidRPr="00E57329">
        <w:rPr>
          <w:rFonts w:ascii="Times New Roman" w:hAnsi="Times New Roman" w:cs="Times New Roman"/>
          <w:b/>
          <w:sz w:val="24"/>
          <w:szCs w:val="24"/>
        </w:rPr>
        <w:t>last fall</w:t>
      </w:r>
      <w:r w:rsidR="00E57329" w:rsidRPr="00E57329">
        <w:rPr>
          <w:rFonts w:ascii="Times New Roman" w:hAnsi="Times New Roman" w:cs="Times New Roman"/>
          <w:b/>
          <w:sz w:val="24"/>
          <w:szCs w:val="24"/>
        </w:rPr>
        <w:t xml:space="preserve"> even though headcount is slightly lower</w:t>
      </w:r>
      <w:r w:rsidR="00DB1199" w:rsidRPr="00E5732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B698D" w:rsidRPr="00E57329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E57329">
        <w:rPr>
          <w:rFonts w:ascii="Times New Roman" w:hAnsi="Times New Roman" w:cs="Times New Roman"/>
          <w:b/>
          <w:sz w:val="24"/>
          <w:szCs w:val="24"/>
        </w:rPr>
        <w:t xml:space="preserve">134 </w:t>
      </w:r>
      <w:r w:rsidR="006B698D" w:rsidRPr="00E57329">
        <w:rPr>
          <w:rFonts w:ascii="Times New Roman" w:hAnsi="Times New Roman" w:cs="Times New Roman"/>
          <w:b/>
          <w:sz w:val="24"/>
          <w:szCs w:val="24"/>
        </w:rPr>
        <w:t>general  classrooms account for 7</w:t>
      </w:r>
      <w:r w:rsidR="000F2D33" w:rsidRPr="00E57329">
        <w:rPr>
          <w:rFonts w:ascii="Times New Roman" w:hAnsi="Times New Roman" w:cs="Times New Roman"/>
          <w:b/>
          <w:sz w:val="24"/>
          <w:szCs w:val="24"/>
        </w:rPr>
        <w:t>6</w:t>
      </w:r>
      <w:r w:rsidR="006B698D" w:rsidRPr="00E57329">
        <w:rPr>
          <w:rFonts w:ascii="Times New Roman" w:hAnsi="Times New Roman" w:cs="Times New Roman"/>
          <w:b/>
          <w:sz w:val="24"/>
          <w:szCs w:val="24"/>
        </w:rPr>
        <w:t xml:space="preserve">% of </w:t>
      </w:r>
      <w:r w:rsidR="00C70369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6B698D" w:rsidRPr="00E57329">
        <w:rPr>
          <w:rFonts w:ascii="Times New Roman" w:hAnsi="Times New Roman" w:cs="Times New Roman"/>
          <w:b/>
          <w:sz w:val="24"/>
          <w:szCs w:val="24"/>
        </w:rPr>
        <w:t xml:space="preserve">Pullman campus student contact hours. </w:t>
      </w:r>
    </w:p>
    <w:p w14:paraId="74CE7E07" w14:textId="77777777" w:rsidR="004C22F3" w:rsidRPr="00D95F37" w:rsidRDefault="004C22F3" w:rsidP="001209E0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81B343F" w14:textId="74D1E05C" w:rsidR="007A6CAE" w:rsidRDefault="00FD3B97" w:rsidP="00C703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C70369">
        <w:rPr>
          <w:rFonts w:ascii="Times New Roman" w:hAnsi="Times New Roman" w:cs="Times New Roman"/>
          <w:b/>
          <w:sz w:val="24"/>
          <w:szCs w:val="24"/>
        </w:rPr>
        <w:t xml:space="preserve">uditoria that seat more than 200 students </w:t>
      </w:r>
      <w:r>
        <w:rPr>
          <w:rFonts w:ascii="Times New Roman" w:hAnsi="Times New Roman" w:cs="Times New Roman"/>
          <w:b/>
          <w:sz w:val="24"/>
          <w:szCs w:val="24"/>
        </w:rPr>
        <w:t xml:space="preserve">continue to be in high demand </w:t>
      </w:r>
      <w:r w:rsidR="00C70369">
        <w:rPr>
          <w:rFonts w:ascii="Times New Roman" w:hAnsi="Times New Roman" w:cs="Times New Roman"/>
          <w:b/>
          <w:sz w:val="24"/>
          <w:szCs w:val="24"/>
        </w:rPr>
        <w:t xml:space="preserve">(see </w:t>
      </w:r>
      <w:r w:rsidR="00C70369" w:rsidRPr="00137E92">
        <w:rPr>
          <w:rFonts w:ascii="Times New Roman" w:hAnsi="Times New Roman" w:cs="Times New Roman"/>
          <w:b/>
          <w:sz w:val="24"/>
          <w:szCs w:val="24"/>
        </w:rPr>
        <w:t>Chart A1-A2)</w:t>
      </w:r>
      <w:r w:rsidR="00C70369">
        <w:rPr>
          <w:rFonts w:ascii="Times New Roman" w:hAnsi="Times New Roman" w:cs="Times New Roman"/>
          <w:b/>
          <w:sz w:val="24"/>
          <w:szCs w:val="24"/>
        </w:rPr>
        <w:t xml:space="preserve">.  To help alleviate this demand, </w:t>
      </w:r>
      <w:r w:rsidR="003C0408">
        <w:rPr>
          <w:rFonts w:ascii="Times New Roman" w:hAnsi="Times New Roman" w:cs="Times New Roman"/>
          <w:b/>
          <w:sz w:val="24"/>
          <w:szCs w:val="24"/>
        </w:rPr>
        <w:t xml:space="preserve">last summer </w:t>
      </w:r>
      <w:r w:rsidR="00C70369">
        <w:rPr>
          <w:rFonts w:ascii="Times New Roman" w:hAnsi="Times New Roman" w:cs="Times New Roman"/>
          <w:b/>
          <w:sz w:val="24"/>
          <w:szCs w:val="24"/>
        </w:rPr>
        <w:t xml:space="preserve">a wall was removed to </w:t>
      </w:r>
      <w:r>
        <w:rPr>
          <w:rFonts w:ascii="Times New Roman" w:hAnsi="Times New Roman" w:cs="Times New Roman"/>
          <w:b/>
          <w:sz w:val="24"/>
          <w:szCs w:val="24"/>
        </w:rPr>
        <w:t>convert</w:t>
      </w:r>
      <w:r w:rsidR="00C70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408">
        <w:rPr>
          <w:rFonts w:ascii="Times New Roman" w:hAnsi="Times New Roman" w:cs="Times New Roman"/>
          <w:b/>
          <w:sz w:val="24"/>
          <w:szCs w:val="24"/>
        </w:rPr>
        <w:t xml:space="preserve">two rooms </w:t>
      </w:r>
      <w:r w:rsidR="0033215F">
        <w:rPr>
          <w:rFonts w:ascii="Times New Roman" w:hAnsi="Times New Roman" w:cs="Times New Roman"/>
          <w:b/>
          <w:sz w:val="24"/>
          <w:szCs w:val="24"/>
        </w:rPr>
        <w:t>of</w:t>
      </w:r>
      <w:r w:rsidR="003C0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369">
        <w:rPr>
          <w:rFonts w:ascii="Times New Roman" w:hAnsi="Times New Roman" w:cs="Times New Roman"/>
          <w:b/>
          <w:sz w:val="24"/>
          <w:szCs w:val="24"/>
        </w:rPr>
        <w:t xml:space="preserve">120 seats each </w:t>
      </w:r>
      <w:r>
        <w:rPr>
          <w:rFonts w:ascii="Times New Roman" w:hAnsi="Times New Roman" w:cs="Times New Roman"/>
          <w:b/>
          <w:sz w:val="24"/>
          <w:szCs w:val="24"/>
        </w:rPr>
        <w:t>in Cleveland Hall in</w:t>
      </w:r>
      <w:r w:rsidR="00C70369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33215F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C70369">
        <w:rPr>
          <w:rFonts w:ascii="Times New Roman" w:hAnsi="Times New Roman" w:cs="Times New Roman"/>
          <w:b/>
          <w:sz w:val="24"/>
          <w:szCs w:val="24"/>
        </w:rPr>
        <w:t xml:space="preserve">254 seat </w:t>
      </w:r>
      <w:r w:rsidR="0033215F">
        <w:rPr>
          <w:rFonts w:ascii="Times New Roman" w:hAnsi="Times New Roman" w:cs="Times New Roman"/>
          <w:b/>
          <w:sz w:val="24"/>
          <w:szCs w:val="24"/>
        </w:rPr>
        <w:t>auditorium</w:t>
      </w:r>
      <w:r w:rsidR="00C70369">
        <w:rPr>
          <w:rFonts w:ascii="Times New Roman" w:hAnsi="Times New Roman" w:cs="Times New Roman"/>
          <w:b/>
          <w:sz w:val="24"/>
          <w:szCs w:val="24"/>
        </w:rPr>
        <w:t xml:space="preserve">.  The </w:t>
      </w:r>
      <w:r w:rsidR="0033215F">
        <w:rPr>
          <w:rFonts w:ascii="Times New Roman" w:hAnsi="Times New Roman" w:cs="Times New Roman"/>
          <w:b/>
          <w:sz w:val="24"/>
          <w:szCs w:val="24"/>
        </w:rPr>
        <w:t>expand</w:t>
      </w:r>
      <w:r w:rsidR="00077C8A">
        <w:rPr>
          <w:rFonts w:ascii="Times New Roman" w:hAnsi="Times New Roman" w:cs="Times New Roman"/>
          <w:b/>
          <w:sz w:val="24"/>
          <w:szCs w:val="24"/>
        </w:rPr>
        <w:t>ed</w:t>
      </w:r>
      <w:r w:rsidR="00332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369">
        <w:rPr>
          <w:rFonts w:ascii="Times New Roman" w:hAnsi="Times New Roman" w:cs="Times New Roman"/>
          <w:b/>
          <w:sz w:val="24"/>
          <w:szCs w:val="24"/>
        </w:rPr>
        <w:t>auditorium is also newly equipped with videoconferencing equipment</w:t>
      </w:r>
      <w:r>
        <w:rPr>
          <w:rFonts w:ascii="Times New Roman" w:hAnsi="Times New Roman" w:cs="Times New Roman"/>
          <w:b/>
          <w:sz w:val="24"/>
          <w:szCs w:val="24"/>
        </w:rPr>
        <w:t xml:space="preserve"> and should see more usage in future semesters.</w:t>
      </w:r>
    </w:p>
    <w:p w14:paraId="50F49C1F" w14:textId="77777777" w:rsidR="007A6CAE" w:rsidRDefault="007A6CAE" w:rsidP="00C70369">
      <w:pPr>
        <w:rPr>
          <w:rFonts w:ascii="Times New Roman" w:hAnsi="Times New Roman" w:cs="Times New Roman"/>
          <w:b/>
          <w:sz w:val="24"/>
          <w:szCs w:val="24"/>
        </w:rPr>
      </w:pPr>
    </w:p>
    <w:p w14:paraId="43FC9F84" w14:textId="36965317" w:rsidR="00C70369" w:rsidRDefault="00C70369" w:rsidP="00C703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 average, the nine large auditoria were scheduled </w:t>
      </w:r>
      <w:r w:rsidRPr="00CE2E10">
        <w:rPr>
          <w:rFonts w:ascii="Times New Roman" w:hAnsi="Times New Roman" w:cs="Times New Roman"/>
          <w:b/>
          <w:sz w:val="24"/>
          <w:szCs w:val="24"/>
        </w:rPr>
        <w:t>82% of the daytime hours/week and seating averaged two-thirds full</w:t>
      </w:r>
      <w:r w:rsidR="007A6CAE">
        <w:rPr>
          <w:rFonts w:ascii="Times New Roman" w:hAnsi="Times New Roman" w:cs="Times New Roman"/>
          <w:b/>
          <w:sz w:val="24"/>
          <w:szCs w:val="24"/>
        </w:rPr>
        <w:t xml:space="preserve"> or higher</w:t>
      </w:r>
      <w:r w:rsidRPr="00CE2E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6CAE">
        <w:rPr>
          <w:rFonts w:ascii="Times New Roman" w:hAnsi="Times New Roman" w:cs="Times New Roman"/>
          <w:b/>
          <w:sz w:val="24"/>
          <w:szCs w:val="24"/>
        </w:rPr>
        <w:t xml:space="preserve"> There also exist about the same number of smaller sized </w:t>
      </w:r>
      <w:r w:rsidR="0033215F">
        <w:rPr>
          <w:rFonts w:ascii="Times New Roman" w:hAnsi="Times New Roman" w:cs="Times New Roman"/>
          <w:b/>
          <w:sz w:val="24"/>
          <w:szCs w:val="24"/>
        </w:rPr>
        <w:t>class</w:t>
      </w:r>
      <w:r w:rsidR="007A6CAE">
        <w:rPr>
          <w:rFonts w:ascii="Times New Roman" w:hAnsi="Times New Roman" w:cs="Times New Roman"/>
          <w:b/>
          <w:sz w:val="24"/>
          <w:szCs w:val="24"/>
        </w:rPr>
        <w:t>rooms that meet or exceed this</w:t>
      </w:r>
      <w:r w:rsidR="0033215F">
        <w:rPr>
          <w:rFonts w:ascii="Times New Roman" w:hAnsi="Times New Roman" w:cs="Times New Roman"/>
          <w:b/>
          <w:sz w:val="24"/>
          <w:szCs w:val="24"/>
        </w:rPr>
        <w:t xml:space="preserve"> time and fullness level</w:t>
      </w:r>
      <w:r w:rsidR="007A6CAE">
        <w:rPr>
          <w:rFonts w:ascii="Times New Roman" w:hAnsi="Times New Roman" w:cs="Times New Roman"/>
          <w:b/>
          <w:sz w:val="24"/>
          <w:szCs w:val="24"/>
        </w:rPr>
        <w:t>.</w:t>
      </w:r>
    </w:p>
    <w:p w14:paraId="5B0A4BBC" w14:textId="4D807666" w:rsidR="00C70369" w:rsidRDefault="00C70369" w:rsidP="00646EB3">
      <w:pPr>
        <w:rPr>
          <w:rFonts w:ascii="Times New Roman" w:hAnsi="Times New Roman" w:cs="Times New Roman"/>
          <w:b/>
          <w:sz w:val="24"/>
          <w:szCs w:val="24"/>
        </w:rPr>
      </w:pPr>
    </w:p>
    <w:p w14:paraId="5E2FDD5F" w14:textId="77777777" w:rsidR="003F3165" w:rsidRDefault="001D6FE9" w:rsidP="003F3165">
      <w:pPr>
        <w:rPr>
          <w:rFonts w:ascii="Times New Roman" w:hAnsi="Times New Roman" w:cs="Times New Roman"/>
          <w:b/>
          <w:sz w:val="24"/>
          <w:szCs w:val="24"/>
        </w:rPr>
      </w:pPr>
      <w:r w:rsidRPr="001D6FE9">
        <w:rPr>
          <w:rFonts w:ascii="Times New Roman" w:hAnsi="Times New Roman" w:cs="Times New Roman"/>
          <w:b/>
          <w:sz w:val="24"/>
          <w:szCs w:val="24"/>
          <w:u w:val="single"/>
        </w:rPr>
        <w:t>Other data: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0878">
        <w:rPr>
          <w:rFonts w:ascii="Times New Roman" w:hAnsi="Times New Roman" w:cs="Times New Roman"/>
          <w:b/>
          <w:sz w:val="24"/>
          <w:szCs w:val="24"/>
        </w:rPr>
        <w:t xml:space="preserve">Chart B compares the demand for different sized rooms as enrollment increased since 2008.  </w:t>
      </w:r>
    </w:p>
    <w:p w14:paraId="260F9013" w14:textId="77777777" w:rsidR="003F3165" w:rsidRDefault="003F3165" w:rsidP="003F3165">
      <w:pPr>
        <w:rPr>
          <w:rFonts w:ascii="Times New Roman" w:hAnsi="Times New Roman" w:cs="Times New Roman"/>
          <w:b/>
          <w:sz w:val="24"/>
          <w:szCs w:val="24"/>
        </w:rPr>
      </w:pPr>
    </w:p>
    <w:p w14:paraId="7DBAC8F6" w14:textId="732757B7" w:rsidR="003F3165" w:rsidRDefault="00BD6400" w:rsidP="003F31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Charts </w:t>
      </w:r>
      <w:r w:rsidR="00330878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1-</w:t>
      </w:r>
      <w:r w:rsidR="00330878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2 reflect </w:t>
      </w:r>
      <w:r w:rsidR="00CF7F40">
        <w:rPr>
          <w:rFonts w:ascii="Times New Roman" w:hAnsi="Times New Roman" w:cs="Times New Roman"/>
          <w:b/>
          <w:sz w:val="24"/>
          <w:szCs w:val="24"/>
        </w:rPr>
        <w:t xml:space="preserve">this fall’s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405EB3">
        <w:rPr>
          <w:rFonts w:ascii="Times New Roman" w:hAnsi="Times New Roman" w:cs="Times New Roman"/>
          <w:b/>
          <w:sz w:val="24"/>
          <w:szCs w:val="24"/>
        </w:rPr>
        <w:t xml:space="preserve">verage </w:t>
      </w:r>
      <w:r>
        <w:rPr>
          <w:rFonts w:ascii="Times New Roman" w:hAnsi="Times New Roman" w:cs="Times New Roman"/>
          <w:b/>
          <w:sz w:val="24"/>
          <w:szCs w:val="24"/>
        </w:rPr>
        <w:t xml:space="preserve">classroom </w:t>
      </w:r>
      <w:r w:rsidR="00405EB3">
        <w:rPr>
          <w:rFonts w:ascii="Times New Roman" w:hAnsi="Times New Roman" w:cs="Times New Roman"/>
          <w:b/>
          <w:sz w:val="24"/>
          <w:szCs w:val="24"/>
        </w:rPr>
        <w:t>u</w:t>
      </w:r>
      <w:r w:rsidR="00646EB3">
        <w:rPr>
          <w:rFonts w:ascii="Times New Roman" w:hAnsi="Times New Roman" w:cs="Times New Roman"/>
          <w:b/>
          <w:sz w:val="24"/>
          <w:szCs w:val="24"/>
        </w:rPr>
        <w:t xml:space="preserve">se by day </w:t>
      </w:r>
      <w:r w:rsidR="0031671C">
        <w:rPr>
          <w:rFonts w:ascii="Times New Roman" w:hAnsi="Times New Roman" w:cs="Times New Roman"/>
          <w:b/>
          <w:sz w:val="24"/>
          <w:szCs w:val="24"/>
        </w:rPr>
        <w:t xml:space="preserve">of the week </w:t>
      </w:r>
      <w:r w:rsidR="00646EB3">
        <w:rPr>
          <w:rFonts w:ascii="Times New Roman" w:hAnsi="Times New Roman" w:cs="Times New Roman"/>
          <w:b/>
          <w:sz w:val="24"/>
          <w:szCs w:val="24"/>
        </w:rPr>
        <w:t>and hour</w:t>
      </w:r>
      <w:r w:rsidR="00440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71C">
        <w:rPr>
          <w:rFonts w:ascii="Times New Roman" w:hAnsi="Times New Roman" w:cs="Times New Roman"/>
          <w:b/>
          <w:sz w:val="24"/>
          <w:szCs w:val="24"/>
        </w:rPr>
        <w:t xml:space="preserve">of the day compared to </w:t>
      </w:r>
      <w:r w:rsidR="0044097D">
        <w:rPr>
          <w:rFonts w:ascii="Times New Roman" w:hAnsi="Times New Roman" w:cs="Times New Roman"/>
          <w:b/>
          <w:sz w:val="24"/>
          <w:szCs w:val="24"/>
        </w:rPr>
        <w:t>previous years</w:t>
      </w:r>
      <w:r w:rsidR="00646EB3">
        <w:rPr>
          <w:rFonts w:ascii="Times New Roman" w:hAnsi="Times New Roman" w:cs="Times New Roman"/>
          <w:b/>
          <w:sz w:val="24"/>
          <w:szCs w:val="24"/>
        </w:rPr>
        <w:t>.</w:t>
      </w:r>
      <w:r w:rsidR="000368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71C">
        <w:rPr>
          <w:rFonts w:ascii="Times New Roman" w:hAnsi="Times New Roman" w:cs="Times New Roman"/>
          <w:b/>
          <w:sz w:val="24"/>
          <w:szCs w:val="24"/>
        </w:rPr>
        <w:t xml:space="preserve">Demand for Tuesdays/Thursday scheduling continues to increase.  </w:t>
      </w:r>
      <w:r w:rsidR="003F3165">
        <w:rPr>
          <w:rFonts w:ascii="Times New Roman" w:hAnsi="Times New Roman" w:cs="Times New Roman"/>
          <w:b/>
          <w:sz w:val="24"/>
          <w:szCs w:val="24"/>
        </w:rPr>
        <w:t>I</w:t>
      </w:r>
      <w:r w:rsidR="003F3165" w:rsidRPr="00E57329">
        <w:rPr>
          <w:rFonts w:ascii="Times New Roman" w:hAnsi="Times New Roman" w:cs="Times New Roman"/>
          <w:b/>
          <w:sz w:val="24"/>
          <w:szCs w:val="24"/>
        </w:rPr>
        <w:t>n most buildings</w:t>
      </w:r>
      <w:r w:rsidR="003F3165">
        <w:rPr>
          <w:rFonts w:ascii="Times New Roman" w:hAnsi="Times New Roman" w:cs="Times New Roman"/>
          <w:b/>
          <w:sz w:val="24"/>
          <w:szCs w:val="24"/>
        </w:rPr>
        <w:t>,</w:t>
      </w:r>
      <w:r w:rsidR="003F3165" w:rsidRPr="00E5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71C">
        <w:rPr>
          <w:rFonts w:ascii="Times New Roman" w:hAnsi="Times New Roman" w:cs="Times New Roman"/>
          <w:b/>
          <w:sz w:val="24"/>
          <w:szCs w:val="24"/>
        </w:rPr>
        <w:t xml:space="preserve">there remain open </w:t>
      </w:r>
      <w:r w:rsidR="003F3165" w:rsidRPr="00E57329">
        <w:rPr>
          <w:rFonts w:ascii="Times New Roman" w:hAnsi="Times New Roman" w:cs="Times New Roman"/>
          <w:b/>
          <w:sz w:val="24"/>
          <w:szCs w:val="24"/>
        </w:rPr>
        <w:t>timeslots for scheduling at 8</w:t>
      </w:r>
      <w:r w:rsidR="0031671C">
        <w:rPr>
          <w:rFonts w:ascii="Times New Roman" w:hAnsi="Times New Roman" w:cs="Times New Roman"/>
          <w:b/>
          <w:sz w:val="24"/>
          <w:szCs w:val="24"/>
        </w:rPr>
        <w:t>:00</w:t>
      </w:r>
      <w:r w:rsidR="003F3165" w:rsidRPr="00E57329">
        <w:rPr>
          <w:rFonts w:ascii="Times New Roman" w:hAnsi="Times New Roman" w:cs="Times New Roman"/>
          <w:b/>
          <w:sz w:val="24"/>
          <w:szCs w:val="24"/>
        </w:rPr>
        <w:t xml:space="preserve"> a.m. and after</w:t>
      </w:r>
      <w:r w:rsidR="003F316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31671C">
        <w:rPr>
          <w:rFonts w:ascii="Times New Roman" w:hAnsi="Times New Roman" w:cs="Times New Roman"/>
          <w:b/>
          <w:sz w:val="24"/>
          <w:szCs w:val="24"/>
        </w:rPr>
        <w:t>:00</w:t>
      </w:r>
      <w:r w:rsidR="003F3165">
        <w:rPr>
          <w:rFonts w:ascii="Times New Roman" w:hAnsi="Times New Roman" w:cs="Times New Roman"/>
          <w:b/>
          <w:sz w:val="24"/>
          <w:szCs w:val="24"/>
        </w:rPr>
        <w:t xml:space="preserve"> p.m.     </w:t>
      </w:r>
    </w:p>
    <w:p w14:paraId="4A303D23" w14:textId="77777777" w:rsidR="00BD6400" w:rsidRDefault="00BD6400" w:rsidP="00646EB3">
      <w:pPr>
        <w:rPr>
          <w:rFonts w:ascii="Times New Roman" w:hAnsi="Times New Roman" w:cs="Times New Roman"/>
          <w:b/>
          <w:sz w:val="24"/>
          <w:szCs w:val="24"/>
        </w:rPr>
      </w:pPr>
    </w:p>
    <w:p w14:paraId="5ADCEDF5" w14:textId="6CB5F82B" w:rsidR="0055783F" w:rsidRDefault="006F1832" w:rsidP="0055783F">
      <w:pPr>
        <w:rPr>
          <w:rFonts w:ascii="Times New Roman" w:hAnsi="Times New Roman" w:cs="Times New Roman"/>
          <w:sz w:val="24"/>
          <w:szCs w:val="24"/>
        </w:rPr>
      </w:pPr>
      <w:r w:rsidRPr="006F1832">
        <w:rPr>
          <w:rFonts w:ascii="Times New Roman" w:hAnsi="Times New Roman" w:cs="Times New Roman"/>
          <w:b/>
          <w:sz w:val="24"/>
          <w:szCs w:val="24"/>
          <w:u w:val="single"/>
        </w:rPr>
        <w:t>Departmental Classrooms: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137A">
        <w:rPr>
          <w:rFonts w:ascii="Times New Roman" w:hAnsi="Times New Roman" w:cs="Times New Roman"/>
          <w:sz w:val="24"/>
          <w:szCs w:val="24"/>
        </w:rPr>
        <w:t>T</w:t>
      </w:r>
      <w:r w:rsidR="0068137A">
        <w:rPr>
          <w:rFonts w:ascii="Times New Roman" w:hAnsi="Times New Roman" w:cs="Times New Roman"/>
          <w:b/>
          <w:sz w:val="24"/>
          <w:szCs w:val="24"/>
        </w:rPr>
        <w:t xml:space="preserve">hese </w:t>
      </w:r>
      <w:r w:rsidR="00BB205B">
        <w:rPr>
          <w:rFonts w:ascii="Times New Roman" w:hAnsi="Times New Roman" w:cs="Times New Roman"/>
          <w:b/>
          <w:sz w:val="24"/>
          <w:szCs w:val="24"/>
        </w:rPr>
        <w:t>rooms</w:t>
      </w:r>
      <w:r w:rsidR="0068137A">
        <w:rPr>
          <w:rFonts w:ascii="Times New Roman" w:hAnsi="Times New Roman" w:cs="Times New Roman"/>
          <w:b/>
          <w:sz w:val="24"/>
          <w:szCs w:val="24"/>
        </w:rPr>
        <w:t xml:space="preserve"> account f</w:t>
      </w:r>
      <w:r w:rsidR="0068137A" w:rsidRPr="00A00983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="00515F7D">
        <w:rPr>
          <w:rFonts w:ascii="Times New Roman" w:hAnsi="Times New Roman" w:cs="Times New Roman"/>
          <w:b/>
          <w:sz w:val="24"/>
          <w:szCs w:val="24"/>
        </w:rPr>
        <w:t xml:space="preserve">only </w:t>
      </w:r>
      <w:r w:rsidR="0068137A" w:rsidRPr="00A00983">
        <w:rPr>
          <w:rFonts w:ascii="Times New Roman" w:hAnsi="Times New Roman" w:cs="Times New Roman"/>
          <w:b/>
          <w:sz w:val="24"/>
          <w:szCs w:val="24"/>
        </w:rPr>
        <w:t>7% of total student contact hours</w:t>
      </w:r>
      <w:r w:rsidR="00A43047">
        <w:rPr>
          <w:rFonts w:ascii="Times New Roman" w:hAnsi="Times New Roman" w:cs="Times New Roman"/>
          <w:b/>
          <w:sz w:val="24"/>
          <w:szCs w:val="24"/>
        </w:rPr>
        <w:t>.  Scheduled u</w:t>
      </w:r>
      <w:r w:rsidR="00515F7D">
        <w:rPr>
          <w:rFonts w:ascii="Times New Roman" w:hAnsi="Times New Roman" w:cs="Times New Roman"/>
          <w:b/>
          <w:sz w:val="24"/>
          <w:szCs w:val="24"/>
        </w:rPr>
        <w:t>sage</w:t>
      </w:r>
      <w:r w:rsidR="00BD6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A0A">
        <w:rPr>
          <w:rFonts w:ascii="Times New Roman" w:hAnsi="Times New Roman" w:cs="Times New Roman"/>
          <w:b/>
          <w:sz w:val="24"/>
          <w:szCs w:val="24"/>
        </w:rPr>
        <w:t>was about the same as</w:t>
      </w:r>
      <w:r w:rsidR="00CF7F40">
        <w:rPr>
          <w:rFonts w:ascii="Times New Roman" w:hAnsi="Times New Roman" w:cs="Times New Roman"/>
          <w:b/>
          <w:sz w:val="24"/>
          <w:szCs w:val="24"/>
        </w:rPr>
        <w:t xml:space="preserve"> last</w:t>
      </w:r>
      <w:r w:rsidR="00515F7D">
        <w:rPr>
          <w:rFonts w:ascii="Times New Roman" w:hAnsi="Times New Roman" w:cs="Times New Roman"/>
          <w:b/>
          <w:sz w:val="24"/>
          <w:szCs w:val="24"/>
        </w:rPr>
        <w:t xml:space="preserve"> fall</w:t>
      </w:r>
      <w:r w:rsidR="00BD640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8137A">
        <w:rPr>
          <w:rFonts w:ascii="Times New Roman" w:hAnsi="Times New Roman" w:cs="Times New Roman"/>
          <w:b/>
          <w:sz w:val="24"/>
          <w:szCs w:val="24"/>
        </w:rPr>
        <w:t xml:space="preserve">Most departmental classrooms </w:t>
      </w:r>
      <w:r w:rsidR="006901FC">
        <w:rPr>
          <w:rFonts w:ascii="Times New Roman" w:hAnsi="Times New Roman" w:cs="Times New Roman"/>
          <w:b/>
          <w:sz w:val="24"/>
          <w:szCs w:val="24"/>
        </w:rPr>
        <w:t>are small</w:t>
      </w:r>
      <w:r w:rsidR="0068137A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BD6400">
        <w:rPr>
          <w:rFonts w:ascii="Times New Roman" w:hAnsi="Times New Roman" w:cs="Times New Roman"/>
          <w:b/>
          <w:sz w:val="24"/>
          <w:szCs w:val="24"/>
        </w:rPr>
        <w:t>often</w:t>
      </w:r>
      <w:r w:rsidR="0068137A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EE6EC1">
        <w:rPr>
          <w:rFonts w:ascii="Times New Roman" w:hAnsi="Times New Roman" w:cs="Times New Roman"/>
          <w:b/>
          <w:sz w:val="24"/>
          <w:szCs w:val="24"/>
        </w:rPr>
        <w:t>ouse</w:t>
      </w:r>
      <w:r w:rsidR="0068137A">
        <w:rPr>
          <w:rFonts w:ascii="Times New Roman" w:hAnsi="Times New Roman" w:cs="Times New Roman"/>
          <w:b/>
          <w:sz w:val="24"/>
          <w:szCs w:val="24"/>
        </w:rPr>
        <w:t xml:space="preserve"> discipline-specific materials and equipment</w:t>
      </w:r>
      <w:r w:rsidR="00EE6EC1">
        <w:rPr>
          <w:rFonts w:ascii="Times New Roman" w:hAnsi="Times New Roman" w:cs="Times New Roman"/>
          <w:b/>
          <w:sz w:val="24"/>
          <w:szCs w:val="24"/>
        </w:rPr>
        <w:t>.</w:t>
      </w:r>
      <w:r w:rsidR="0068137A">
        <w:rPr>
          <w:rFonts w:ascii="Times New Roman" w:hAnsi="Times New Roman" w:cs="Times New Roman"/>
          <w:b/>
          <w:sz w:val="24"/>
          <w:szCs w:val="24"/>
        </w:rPr>
        <w:t xml:space="preserve">   Upper division and graduate courses comprised </w:t>
      </w:r>
      <w:r w:rsidR="00C64774">
        <w:rPr>
          <w:rFonts w:ascii="Times New Roman" w:hAnsi="Times New Roman" w:cs="Times New Roman"/>
          <w:b/>
          <w:sz w:val="24"/>
          <w:szCs w:val="24"/>
        </w:rPr>
        <w:t>much of</w:t>
      </w:r>
      <w:r w:rsidR="0068137A">
        <w:rPr>
          <w:rFonts w:ascii="Times New Roman" w:hAnsi="Times New Roman" w:cs="Times New Roman"/>
          <w:b/>
          <w:sz w:val="24"/>
          <w:szCs w:val="24"/>
        </w:rPr>
        <w:t xml:space="preserve"> the usage.</w:t>
      </w:r>
      <w:r w:rsidR="00646EB3">
        <w:rPr>
          <w:rFonts w:ascii="Times New Roman" w:hAnsi="Times New Roman" w:cs="Times New Roman"/>
          <w:b/>
          <w:sz w:val="24"/>
          <w:szCs w:val="24"/>
        </w:rPr>
        <w:t xml:space="preserve">  There exist 82 rooms, </w:t>
      </w:r>
      <w:r w:rsidR="0034084E">
        <w:rPr>
          <w:rFonts w:ascii="Times New Roman" w:hAnsi="Times New Roman" w:cs="Times New Roman"/>
          <w:b/>
          <w:sz w:val="24"/>
          <w:szCs w:val="24"/>
        </w:rPr>
        <w:t xml:space="preserve">57 </w:t>
      </w:r>
      <w:r w:rsidR="0055783F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646EB3">
        <w:rPr>
          <w:rFonts w:ascii="Times New Roman" w:hAnsi="Times New Roman" w:cs="Times New Roman"/>
          <w:b/>
          <w:sz w:val="24"/>
          <w:szCs w:val="24"/>
        </w:rPr>
        <w:t>which were scheduled</w:t>
      </w:r>
      <w:r w:rsidR="006F7A0A">
        <w:rPr>
          <w:rFonts w:ascii="Times New Roman" w:hAnsi="Times New Roman" w:cs="Times New Roman"/>
          <w:b/>
          <w:sz w:val="24"/>
          <w:szCs w:val="24"/>
        </w:rPr>
        <w:t xml:space="preserve"> at tenth day</w:t>
      </w:r>
      <w:r w:rsidR="0055783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45FC48D" w14:textId="33981FAB" w:rsidR="00EA3BC5" w:rsidRPr="009E23A2" w:rsidRDefault="00EA3BC5" w:rsidP="00155315">
      <w:pPr>
        <w:rPr>
          <w:rFonts w:ascii="Times New Roman" w:hAnsi="Times New Roman" w:cs="Times New Roman"/>
          <w:b/>
          <w:sz w:val="24"/>
          <w:szCs w:val="24"/>
        </w:rPr>
      </w:pPr>
    </w:p>
    <w:p w14:paraId="2BAD34EA" w14:textId="7F69871F" w:rsidR="00365F04" w:rsidRDefault="00D842B7" w:rsidP="001A0C5A">
      <w:pPr>
        <w:rPr>
          <w:rFonts w:ascii="Times New Roman" w:hAnsi="Times New Roman" w:cs="Times New Roman"/>
          <w:b/>
          <w:sz w:val="24"/>
          <w:szCs w:val="24"/>
        </w:rPr>
      </w:pPr>
      <w:r w:rsidRPr="009E23A2">
        <w:rPr>
          <w:rFonts w:ascii="Times New Roman" w:hAnsi="Times New Roman" w:cs="Times New Roman"/>
          <w:b/>
          <w:sz w:val="24"/>
          <w:szCs w:val="24"/>
          <w:u w:val="single"/>
        </w:rPr>
        <w:t>Teaching</w:t>
      </w:r>
      <w:r w:rsidR="006F1832" w:rsidRPr="009E23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F1832" w:rsidRPr="00B43F7A">
        <w:rPr>
          <w:rFonts w:ascii="Times New Roman" w:hAnsi="Times New Roman" w:cs="Times New Roman"/>
          <w:b/>
          <w:sz w:val="24"/>
          <w:szCs w:val="24"/>
          <w:u w:val="single"/>
        </w:rPr>
        <w:t>Labs:</w:t>
      </w:r>
      <w:r w:rsidR="006F1832" w:rsidRPr="00B43F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6686" w:rsidRPr="00B43F7A">
        <w:rPr>
          <w:rFonts w:ascii="Times New Roman" w:hAnsi="Times New Roman" w:cs="Times New Roman"/>
          <w:b/>
          <w:sz w:val="24"/>
          <w:szCs w:val="24"/>
        </w:rPr>
        <w:t>Average l</w:t>
      </w:r>
      <w:r w:rsidR="0058219B" w:rsidRPr="00B43F7A">
        <w:rPr>
          <w:rFonts w:ascii="Times New Roman" w:hAnsi="Times New Roman" w:cs="Times New Roman"/>
          <w:b/>
          <w:sz w:val="24"/>
          <w:szCs w:val="24"/>
        </w:rPr>
        <w:t>ab</w:t>
      </w:r>
      <w:r w:rsidR="00F6518B" w:rsidRPr="00B43F7A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AE78E3" w:rsidRPr="00B43F7A">
        <w:rPr>
          <w:rFonts w:ascii="Times New Roman" w:hAnsi="Times New Roman" w:cs="Times New Roman"/>
          <w:b/>
          <w:sz w:val="24"/>
          <w:szCs w:val="24"/>
        </w:rPr>
        <w:t>s</w:t>
      </w:r>
      <w:r w:rsidR="0094623A" w:rsidRPr="00B43F7A">
        <w:rPr>
          <w:rFonts w:ascii="Times New Roman" w:hAnsi="Times New Roman" w:cs="Times New Roman"/>
          <w:b/>
          <w:sz w:val="24"/>
          <w:szCs w:val="24"/>
        </w:rPr>
        <w:t xml:space="preserve">age </w:t>
      </w:r>
      <w:r w:rsidR="00791BCE">
        <w:rPr>
          <w:rFonts w:ascii="Times New Roman" w:hAnsi="Times New Roman" w:cs="Times New Roman"/>
          <w:b/>
          <w:sz w:val="24"/>
          <w:szCs w:val="24"/>
        </w:rPr>
        <w:t xml:space="preserve">probably </w:t>
      </w:r>
      <w:r w:rsidR="00277E8C" w:rsidRPr="00B43F7A">
        <w:rPr>
          <w:rFonts w:ascii="Times New Roman" w:hAnsi="Times New Roman" w:cs="Times New Roman"/>
          <w:b/>
          <w:sz w:val="24"/>
          <w:szCs w:val="24"/>
        </w:rPr>
        <w:t xml:space="preserve">increased </w:t>
      </w:r>
      <w:r w:rsidR="00791BCE">
        <w:rPr>
          <w:rFonts w:ascii="Times New Roman" w:hAnsi="Times New Roman" w:cs="Times New Roman"/>
          <w:b/>
          <w:sz w:val="24"/>
          <w:szCs w:val="24"/>
        </w:rPr>
        <w:t xml:space="preserve">slightly </w:t>
      </w:r>
      <w:r w:rsidR="00277E8C" w:rsidRPr="00B43F7A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="00BD6400">
        <w:rPr>
          <w:rFonts w:ascii="Times New Roman" w:hAnsi="Times New Roman" w:cs="Times New Roman"/>
          <w:b/>
          <w:sz w:val="24"/>
          <w:szCs w:val="24"/>
        </w:rPr>
        <w:t>semester</w:t>
      </w:r>
      <w:r w:rsidR="00791BCE">
        <w:rPr>
          <w:rFonts w:ascii="Times New Roman" w:hAnsi="Times New Roman" w:cs="Times New Roman"/>
          <w:b/>
          <w:sz w:val="24"/>
          <w:szCs w:val="24"/>
        </w:rPr>
        <w:t xml:space="preserve"> but a scheduling issue caused tenth day data to be incomplete</w:t>
      </w:r>
      <w:r w:rsidR="00587F5D" w:rsidRPr="00B43F7A">
        <w:rPr>
          <w:rFonts w:ascii="Times New Roman" w:hAnsi="Times New Roman" w:cs="Times New Roman"/>
          <w:b/>
          <w:sz w:val="24"/>
          <w:szCs w:val="24"/>
        </w:rPr>
        <w:t>.</w:t>
      </w:r>
      <w:r w:rsidR="00AB165A" w:rsidRPr="00B43F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7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BCE">
        <w:rPr>
          <w:rFonts w:ascii="Times New Roman" w:hAnsi="Times New Roman" w:cs="Times New Roman"/>
          <w:b/>
          <w:sz w:val="24"/>
          <w:szCs w:val="24"/>
        </w:rPr>
        <w:t xml:space="preserve">At tenth day, records show that 91 of 139 </w:t>
      </w:r>
      <w:r w:rsidR="00B86686" w:rsidRPr="00B43F7A">
        <w:rPr>
          <w:rFonts w:ascii="Times New Roman" w:hAnsi="Times New Roman" w:cs="Times New Roman"/>
          <w:b/>
          <w:sz w:val="24"/>
          <w:szCs w:val="24"/>
        </w:rPr>
        <w:t xml:space="preserve">teaching </w:t>
      </w:r>
      <w:r w:rsidR="00A6611B" w:rsidRPr="00B43F7A">
        <w:rPr>
          <w:rFonts w:ascii="Times New Roman" w:hAnsi="Times New Roman" w:cs="Times New Roman"/>
          <w:b/>
          <w:sz w:val="24"/>
          <w:szCs w:val="24"/>
        </w:rPr>
        <w:t xml:space="preserve">labs </w:t>
      </w:r>
      <w:r w:rsidR="00B86686" w:rsidRPr="00B43F7A">
        <w:rPr>
          <w:rFonts w:ascii="Times New Roman" w:hAnsi="Times New Roman" w:cs="Times New Roman"/>
          <w:b/>
          <w:sz w:val="24"/>
          <w:szCs w:val="24"/>
        </w:rPr>
        <w:t xml:space="preserve">were </w:t>
      </w:r>
      <w:r w:rsidR="00B86686">
        <w:rPr>
          <w:rFonts w:ascii="Times New Roman" w:hAnsi="Times New Roman" w:cs="Times New Roman"/>
          <w:b/>
          <w:sz w:val="24"/>
          <w:szCs w:val="24"/>
        </w:rPr>
        <w:t>scheduled</w:t>
      </w:r>
      <w:r w:rsidR="00791BCE">
        <w:rPr>
          <w:rFonts w:ascii="Times New Roman" w:hAnsi="Times New Roman" w:cs="Times New Roman"/>
          <w:b/>
          <w:sz w:val="24"/>
          <w:szCs w:val="24"/>
        </w:rPr>
        <w:t>.  If the missing undergraduate chemistry labs were included, then about 107 of 139 teaching labs were in use</w:t>
      </w:r>
      <w:r w:rsidR="00B86686">
        <w:rPr>
          <w:rFonts w:ascii="Times New Roman" w:hAnsi="Times New Roman" w:cs="Times New Roman"/>
          <w:b/>
          <w:sz w:val="24"/>
          <w:szCs w:val="24"/>
        </w:rPr>
        <w:t>.</w:t>
      </w:r>
      <w:r w:rsidR="00A661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6686">
        <w:rPr>
          <w:rFonts w:ascii="Times New Roman" w:hAnsi="Times New Roman" w:cs="Times New Roman"/>
          <w:b/>
          <w:sz w:val="24"/>
          <w:szCs w:val="24"/>
        </w:rPr>
        <w:t>Th</w:t>
      </w:r>
      <w:r w:rsidR="00365F04">
        <w:rPr>
          <w:rFonts w:ascii="Times New Roman" w:hAnsi="Times New Roman" w:cs="Times New Roman"/>
          <w:b/>
          <w:sz w:val="24"/>
          <w:szCs w:val="24"/>
        </w:rPr>
        <w:t>e</w:t>
      </w:r>
      <w:r w:rsidR="00B86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BCE">
        <w:rPr>
          <w:rFonts w:ascii="Times New Roman" w:hAnsi="Times New Roman" w:cs="Times New Roman"/>
          <w:b/>
          <w:sz w:val="24"/>
          <w:szCs w:val="24"/>
        </w:rPr>
        <w:t>3</w:t>
      </w:r>
      <w:r w:rsidR="00646EB3">
        <w:rPr>
          <w:rFonts w:ascii="Times New Roman" w:hAnsi="Times New Roman" w:cs="Times New Roman"/>
          <w:b/>
          <w:sz w:val="24"/>
          <w:szCs w:val="24"/>
        </w:rPr>
        <w:t>2</w:t>
      </w:r>
      <w:r w:rsidR="0068137A">
        <w:rPr>
          <w:rFonts w:ascii="Times New Roman" w:hAnsi="Times New Roman" w:cs="Times New Roman"/>
          <w:b/>
          <w:sz w:val="24"/>
          <w:szCs w:val="24"/>
        </w:rPr>
        <w:t xml:space="preserve">-room </w:t>
      </w:r>
      <w:r w:rsidR="00E83665">
        <w:rPr>
          <w:rFonts w:ascii="Times New Roman" w:hAnsi="Times New Roman" w:cs="Times New Roman"/>
          <w:b/>
          <w:sz w:val="24"/>
          <w:szCs w:val="24"/>
        </w:rPr>
        <w:t>differen</w:t>
      </w:r>
      <w:r w:rsidR="00365F04">
        <w:rPr>
          <w:rFonts w:ascii="Times New Roman" w:hAnsi="Times New Roman" w:cs="Times New Roman"/>
          <w:b/>
          <w:sz w:val="24"/>
          <w:szCs w:val="24"/>
        </w:rPr>
        <w:t>ce</w:t>
      </w:r>
      <w:r w:rsidR="00E83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BCE">
        <w:rPr>
          <w:rFonts w:ascii="Times New Roman" w:hAnsi="Times New Roman" w:cs="Times New Roman"/>
          <w:b/>
          <w:sz w:val="24"/>
          <w:szCs w:val="24"/>
        </w:rPr>
        <w:t>(139 labs-107 scheduled</w:t>
      </w:r>
      <w:r w:rsidR="00FD3B97">
        <w:rPr>
          <w:rFonts w:ascii="Times New Roman" w:hAnsi="Times New Roman" w:cs="Times New Roman"/>
          <w:b/>
          <w:sz w:val="24"/>
          <w:szCs w:val="24"/>
        </w:rPr>
        <w:t>/in use</w:t>
      </w:r>
      <w:r w:rsidR="00791BC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F7F40">
        <w:rPr>
          <w:rFonts w:ascii="Times New Roman" w:hAnsi="Times New Roman" w:cs="Times New Roman"/>
          <w:b/>
          <w:sz w:val="24"/>
          <w:szCs w:val="24"/>
        </w:rPr>
        <w:t>may</w:t>
      </w:r>
      <w:r w:rsidR="00B86686">
        <w:rPr>
          <w:rFonts w:ascii="Times New Roman" w:hAnsi="Times New Roman" w:cs="Times New Roman"/>
          <w:b/>
          <w:sz w:val="24"/>
          <w:szCs w:val="24"/>
        </w:rPr>
        <w:t xml:space="preserve"> represent </w:t>
      </w:r>
      <w:r w:rsidR="00791BCE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B86686">
        <w:rPr>
          <w:rFonts w:ascii="Times New Roman" w:hAnsi="Times New Roman" w:cs="Times New Roman"/>
          <w:b/>
          <w:sz w:val="24"/>
          <w:szCs w:val="24"/>
        </w:rPr>
        <w:t>scheduling issue</w:t>
      </w:r>
      <w:r w:rsidR="00B43F7A">
        <w:rPr>
          <w:rFonts w:ascii="Times New Roman" w:hAnsi="Times New Roman" w:cs="Times New Roman"/>
          <w:b/>
          <w:sz w:val="24"/>
          <w:szCs w:val="24"/>
        </w:rPr>
        <w:t>s</w:t>
      </w:r>
      <w:r w:rsidR="00A00983"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="00B86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F40">
        <w:rPr>
          <w:rFonts w:ascii="Times New Roman" w:hAnsi="Times New Roman" w:cs="Times New Roman"/>
          <w:b/>
          <w:sz w:val="24"/>
          <w:szCs w:val="24"/>
        </w:rPr>
        <w:t xml:space="preserve">spring semester only </w:t>
      </w:r>
      <w:r w:rsidR="00B86686">
        <w:rPr>
          <w:rFonts w:ascii="Times New Roman" w:hAnsi="Times New Roman" w:cs="Times New Roman"/>
          <w:b/>
          <w:sz w:val="24"/>
          <w:szCs w:val="24"/>
        </w:rPr>
        <w:t>us</w:t>
      </w:r>
      <w:r w:rsidR="00DD086E">
        <w:rPr>
          <w:rFonts w:ascii="Times New Roman" w:hAnsi="Times New Roman" w:cs="Times New Roman"/>
          <w:b/>
          <w:sz w:val="24"/>
          <w:szCs w:val="24"/>
        </w:rPr>
        <w:t>e of</w:t>
      </w:r>
      <w:r w:rsidR="00B86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BCE">
        <w:rPr>
          <w:rFonts w:ascii="Times New Roman" w:hAnsi="Times New Roman" w:cs="Times New Roman"/>
          <w:b/>
          <w:sz w:val="24"/>
          <w:szCs w:val="24"/>
        </w:rPr>
        <w:t>certain</w:t>
      </w:r>
      <w:r w:rsidR="00CF7F40">
        <w:rPr>
          <w:rFonts w:ascii="Times New Roman" w:hAnsi="Times New Roman" w:cs="Times New Roman"/>
          <w:b/>
          <w:sz w:val="24"/>
          <w:szCs w:val="24"/>
        </w:rPr>
        <w:t xml:space="preserve"> labs</w:t>
      </w:r>
      <w:r w:rsidR="00B86686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56973B46" w14:textId="77777777" w:rsidR="00B43F7A" w:rsidRDefault="00B43F7A" w:rsidP="001A0C5A">
      <w:pPr>
        <w:rPr>
          <w:rFonts w:ascii="Times New Roman" w:hAnsi="Times New Roman" w:cs="Times New Roman"/>
          <w:b/>
          <w:sz w:val="24"/>
          <w:szCs w:val="24"/>
        </w:rPr>
      </w:pPr>
    </w:p>
    <w:p w14:paraId="49D2F3BB" w14:textId="682092FD" w:rsidR="00706753" w:rsidRDefault="0058219B" w:rsidP="00521599">
      <w:pPr>
        <w:rPr>
          <w:rFonts w:ascii="Times New Roman" w:hAnsi="Times New Roman" w:cs="Times New Roman"/>
          <w:b/>
          <w:sz w:val="24"/>
          <w:szCs w:val="24"/>
        </w:rPr>
      </w:pPr>
      <w:r w:rsidRPr="0058219B">
        <w:rPr>
          <w:rFonts w:ascii="Times New Roman" w:hAnsi="Times New Roman" w:cs="Times New Roman"/>
          <w:b/>
          <w:sz w:val="24"/>
          <w:szCs w:val="24"/>
          <w:u w:val="single"/>
        </w:rPr>
        <w:t>Other Spaces: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6ABB">
        <w:rPr>
          <w:rFonts w:ascii="Times New Roman" w:hAnsi="Times New Roman" w:cs="Times New Roman"/>
          <w:b/>
          <w:sz w:val="24"/>
          <w:szCs w:val="24"/>
        </w:rPr>
        <w:t>A few s</w:t>
      </w:r>
      <w:r w:rsidR="00EA265C">
        <w:rPr>
          <w:rFonts w:ascii="Times New Roman" w:hAnsi="Times New Roman" w:cs="Times New Roman"/>
          <w:b/>
          <w:sz w:val="24"/>
          <w:szCs w:val="24"/>
        </w:rPr>
        <w:t xml:space="preserve">tudent contact hours </w:t>
      </w:r>
      <w:r w:rsidR="0068137A">
        <w:rPr>
          <w:rFonts w:ascii="Times New Roman" w:hAnsi="Times New Roman" w:cs="Times New Roman"/>
          <w:b/>
          <w:sz w:val="24"/>
          <w:szCs w:val="24"/>
        </w:rPr>
        <w:t>we</w:t>
      </w:r>
      <w:r w:rsidR="00521599">
        <w:rPr>
          <w:rFonts w:ascii="Times New Roman" w:hAnsi="Times New Roman" w:cs="Times New Roman"/>
          <w:b/>
          <w:sz w:val="24"/>
          <w:szCs w:val="24"/>
        </w:rPr>
        <w:t xml:space="preserve">re </w:t>
      </w:r>
      <w:r w:rsidR="007D581A">
        <w:rPr>
          <w:rFonts w:ascii="Times New Roman" w:hAnsi="Times New Roman" w:cs="Times New Roman"/>
          <w:b/>
          <w:sz w:val="24"/>
          <w:szCs w:val="24"/>
        </w:rPr>
        <w:t xml:space="preserve">also </w:t>
      </w:r>
      <w:r w:rsidR="00521599">
        <w:rPr>
          <w:rFonts w:ascii="Times New Roman" w:hAnsi="Times New Roman" w:cs="Times New Roman"/>
          <w:b/>
          <w:sz w:val="24"/>
          <w:szCs w:val="24"/>
        </w:rPr>
        <w:t>ass</w:t>
      </w:r>
      <w:r>
        <w:rPr>
          <w:rFonts w:ascii="Times New Roman" w:hAnsi="Times New Roman" w:cs="Times New Roman"/>
          <w:b/>
          <w:sz w:val="24"/>
          <w:szCs w:val="24"/>
        </w:rPr>
        <w:t xml:space="preserve">ociated with </w:t>
      </w:r>
      <w:r w:rsidR="00EA265C">
        <w:rPr>
          <w:rFonts w:ascii="Times New Roman" w:hAnsi="Times New Roman" w:cs="Times New Roman"/>
          <w:b/>
          <w:sz w:val="24"/>
          <w:szCs w:val="24"/>
        </w:rPr>
        <w:t>open lab</w:t>
      </w:r>
      <w:r w:rsidR="007D581A">
        <w:rPr>
          <w:rFonts w:ascii="Times New Roman" w:hAnsi="Times New Roman" w:cs="Times New Roman"/>
          <w:b/>
          <w:sz w:val="24"/>
          <w:szCs w:val="24"/>
        </w:rPr>
        <w:t>s</w:t>
      </w:r>
      <w:r w:rsidR="00EA2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81A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A00983">
        <w:rPr>
          <w:rFonts w:ascii="Times New Roman" w:hAnsi="Times New Roman" w:cs="Times New Roman"/>
          <w:b/>
          <w:sz w:val="24"/>
          <w:szCs w:val="24"/>
        </w:rPr>
        <w:t>o</w:t>
      </w:r>
      <w:r w:rsidR="007D581A">
        <w:rPr>
          <w:rFonts w:ascii="Times New Roman" w:hAnsi="Times New Roman" w:cs="Times New Roman"/>
          <w:b/>
          <w:sz w:val="24"/>
          <w:szCs w:val="24"/>
        </w:rPr>
        <w:t xml:space="preserve">ther types of </w:t>
      </w:r>
      <w:r w:rsidR="00EA265C">
        <w:rPr>
          <w:rFonts w:ascii="Times New Roman" w:hAnsi="Times New Roman" w:cs="Times New Roman"/>
          <w:b/>
          <w:sz w:val="24"/>
          <w:szCs w:val="24"/>
        </w:rPr>
        <w:t>spaces</w:t>
      </w:r>
      <w:r w:rsidR="007D581A">
        <w:rPr>
          <w:rFonts w:ascii="Times New Roman" w:hAnsi="Times New Roman" w:cs="Times New Roman"/>
          <w:b/>
          <w:sz w:val="24"/>
          <w:szCs w:val="24"/>
        </w:rPr>
        <w:t xml:space="preserve">.  Chart </w:t>
      </w:r>
      <w:r w:rsidR="008E30A8">
        <w:rPr>
          <w:rFonts w:ascii="Times New Roman" w:hAnsi="Times New Roman" w:cs="Times New Roman"/>
          <w:b/>
          <w:sz w:val="24"/>
          <w:szCs w:val="24"/>
        </w:rPr>
        <w:t>D</w:t>
      </w:r>
      <w:r w:rsidR="007D581A">
        <w:rPr>
          <w:rFonts w:ascii="Times New Roman" w:hAnsi="Times New Roman" w:cs="Times New Roman"/>
          <w:b/>
          <w:sz w:val="24"/>
          <w:szCs w:val="24"/>
        </w:rPr>
        <w:t xml:space="preserve"> illustrates all </w:t>
      </w:r>
      <w:r w:rsidR="00A00983">
        <w:rPr>
          <w:rFonts w:ascii="Times New Roman" w:hAnsi="Times New Roman" w:cs="Times New Roman"/>
          <w:b/>
          <w:sz w:val="24"/>
          <w:szCs w:val="24"/>
        </w:rPr>
        <w:t xml:space="preserve">space </w:t>
      </w:r>
      <w:r w:rsidR="00365F04">
        <w:rPr>
          <w:rFonts w:ascii="Times New Roman" w:hAnsi="Times New Roman" w:cs="Times New Roman"/>
          <w:b/>
          <w:sz w:val="24"/>
          <w:szCs w:val="24"/>
        </w:rPr>
        <w:t xml:space="preserve">types </w:t>
      </w:r>
      <w:r w:rsidR="007D581A">
        <w:rPr>
          <w:rFonts w:ascii="Times New Roman" w:hAnsi="Times New Roman" w:cs="Times New Roman"/>
          <w:b/>
          <w:sz w:val="24"/>
          <w:szCs w:val="24"/>
        </w:rPr>
        <w:t xml:space="preserve">associated with student contact hours. </w:t>
      </w:r>
      <w:r w:rsidR="00054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BCE">
        <w:rPr>
          <w:rFonts w:ascii="Times New Roman" w:hAnsi="Times New Roman" w:cs="Times New Roman"/>
          <w:b/>
          <w:sz w:val="24"/>
          <w:szCs w:val="24"/>
        </w:rPr>
        <w:t>Note:  This chart also reflects the omission of about 16 teaching labs as mentioned in the section above.</w:t>
      </w:r>
    </w:p>
    <w:p w14:paraId="09819E7D" w14:textId="77777777" w:rsidR="00706753" w:rsidRDefault="00706753" w:rsidP="00521599">
      <w:pPr>
        <w:rPr>
          <w:rFonts w:ascii="Times New Roman" w:hAnsi="Times New Roman" w:cs="Times New Roman"/>
          <w:b/>
          <w:sz w:val="24"/>
          <w:szCs w:val="24"/>
        </w:rPr>
      </w:pPr>
    </w:p>
    <w:p w14:paraId="5E18BB7F" w14:textId="3E1761D9" w:rsidR="00521599" w:rsidRDefault="00706753" w:rsidP="00521599">
      <w:pPr>
        <w:rPr>
          <w:rFonts w:ascii="Times New Roman" w:hAnsi="Times New Roman" w:cs="Times New Roman"/>
          <w:b/>
          <w:sz w:val="24"/>
          <w:szCs w:val="24"/>
        </w:rPr>
      </w:pPr>
      <w:r w:rsidRPr="00706753">
        <w:rPr>
          <w:rFonts w:ascii="Times New Roman" w:hAnsi="Times New Roman" w:cs="Times New Roman"/>
          <w:b/>
          <w:sz w:val="24"/>
          <w:szCs w:val="24"/>
          <w:u w:val="single"/>
        </w:rPr>
        <w:t>College-Specific Reports</w:t>
      </w:r>
      <w:r w:rsidR="000A2A17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Other Campuses</w:t>
      </w:r>
      <w:r w:rsidRPr="0070675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205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ollege</w:t>
      </w:r>
      <w:r w:rsidR="003724A0">
        <w:rPr>
          <w:rFonts w:ascii="Times New Roman" w:hAnsi="Times New Roman" w:cs="Times New Roman"/>
          <w:b/>
          <w:sz w:val="24"/>
          <w:szCs w:val="24"/>
        </w:rPr>
        <w:t xml:space="preserve">-specific </w:t>
      </w:r>
      <w:r w:rsidR="00A00983">
        <w:rPr>
          <w:rFonts w:ascii="Times New Roman" w:hAnsi="Times New Roman" w:cs="Times New Roman"/>
          <w:b/>
          <w:sz w:val="24"/>
          <w:szCs w:val="24"/>
        </w:rPr>
        <w:t xml:space="preserve">use </w:t>
      </w:r>
      <w:r w:rsidR="009A10E9">
        <w:rPr>
          <w:rFonts w:ascii="Times New Roman" w:hAnsi="Times New Roman" w:cs="Times New Roman"/>
          <w:b/>
          <w:sz w:val="24"/>
          <w:szCs w:val="24"/>
        </w:rPr>
        <w:t>r</w:t>
      </w:r>
      <w:r w:rsidR="007D581A">
        <w:rPr>
          <w:rFonts w:ascii="Times New Roman" w:hAnsi="Times New Roman" w:cs="Times New Roman"/>
          <w:b/>
          <w:sz w:val="24"/>
          <w:szCs w:val="24"/>
        </w:rPr>
        <w:t xml:space="preserve">eports </w:t>
      </w:r>
      <w:r w:rsidR="00A00983">
        <w:rPr>
          <w:rFonts w:ascii="Times New Roman" w:hAnsi="Times New Roman" w:cs="Times New Roman"/>
          <w:b/>
          <w:sz w:val="24"/>
          <w:szCs w:val="24"/>
        </w:rPr>
        <w:t>are</w:t>
      </w:r>
      <w:r w:rsidR="00BB205B">
        <w:rPr>
          <w:rFonts w:ascii="Times New Roman" w:hAnsi="Times New Roman" w:cs="Times New Roman"/>
          <w:b/>
          <w:sz w:val="24"/>
          <w:szCs w:val="24"/>
        </w:rPr>
        <w:t xml:space="preserve"> being prepared and </w:t>
      </w:r>
      <w:r w:rsidR="0094623A">
        <w:rPr>
          <w:rFonts w:ascii="Times New Roman" w:hAnsi="Times New Roman" w:cs="Times New Roman"/>
          <w:b/>
          <w:sz w:val="24"/>
          <w:szCs w:val="24"/>
        </w:rPr>
        <w:t xml:space="preserve">will be shared with </w:t>
      </w:r>
      <w:r w:rsidR="009A10E9">
        <w:rPr>
          <w:rFonts w:ascii="Times New Roman" w:hAnsi="Times New Roman" w:cs="Times New Roman"/>
          <w:b/>
          <w:sz w:val="24"/>
          <w:szCs w:val="24"/>
        </w:rPr>
        <w:t xml:space="preserve">individual </w:t>
      </w:r>
      <w:r w:rsidR="009B64AD">
        <w:rPr>
          <w:rFonts w:ascii="Times New Roman" w:hAnsi="Times New Roman" w:cs="Times New Roman"/>
          <w:b/>
          <w:sz w:val="24"/>
          <w:szCs w:val="24"/>
        </w:rPr>
        <w:t>dean</w:t>
      </w:r>
      <w:r w:rsidR="0094623A">
        <w:rPr>
          <w:rFonts w:ascii="Times New Roman" w:hAnsi="Times New Roman" w:cs="Times New Roman"/>
          <w:b/>
          <w:sz w:val="24"/>
          <w:szCs w:val="24"/>
        </w:rPr>
        <w:t>s.</w:t>
      </w:r>
      <w:r w:rsidR="00000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813">
        <w:rPr>
          <w:rFonts w:ascii="Times New Roman" w:hAnsi="Times New Roman" w:cs="Times New Roman"/>
          <w:b/>
          <w:sz w:val="24"/>
          <w:szCs w:val="24"/>
        </w:rPr>
        <w:t xml:space="preserve"> The reports illustrate </w:t>
      </w:r>
      <w:r w:rsidR="001754FF">
        <w:rPr>
          <w:rFonts w:ascii="Times New Roman" w:hAnsi="Times New Roman" w:cs="Times New Roman"/>
          <w:b/>
          <w:sz w:val="24"/>
          <w:szCs w:val="24"/>
        </w:rPr>
        <w:t>where</w:t>
      </w:r>
      <w:r w:rsidR="00365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F40">
        <w:rPr>
          <w:rFonts w:ascii="Times New Roman" w:hAnsi="Times New Roman" w:cs="Times New Roman"/>
          <w:b/>
          <w:sz w:val="24"/>
          <w:szCs w:val="24"/>
        </w:rPr>
        <w:t>the</w:t>
      </w:r>
      <w:r w:rsidR="000A2A17">
        <w:rPr>
          <w:rFonts w:ascii="Times New Roman" w:hAnsi="Times New Roman" w:cs="Times New Roman"/>
          <w:b/>
          <w:sz w:val="24"/>
          <w:szCs w:val="24"/>
        </w:rPr>
        <w:t>ir</w:t>
      </w:r>
      <w:r w:rsidR="00CF7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B97">
        <w:rPr>
          <w:rFonts w:ascii="Times New Roman" w:hAnsi="Times New Roman" w:cs="Times New Roman"/>
          <w:b/>
          <w:sz w:val="24"/>
          <w:szCs w:val="24"/>
        </w:rPr>
        <w:t xml:space="preserve">college’s </w:t>
      </w:r>
      <w:r w:rsidR="00365F04">
        <w:rPr>
          <w:rFonts w:ascii="Times New Roman" w:hAnsi="Times New Roman" w:cs="Times New Roman"/>
          <w:b/>
          <w:sz w:val="24"/>
          <w:szCs w:val="24"/>
        </w:rPr>
        <w:t xml:space="preserve">scheduled </w:t>
      </w:r>
      <w:r w:rsidR="001754FF">
        <w:rPr>
          <w:rFonts w:ascii="Times New Roman" w:hAnsi="Times New Roman" w:cs="Times New Roman"/>
          <w:b/>
          <w:sz w:val="24"/>
          <w:szCs w:val="24"/>
        </w:rPr>
        <w:t xml:space="preserve">teaching occurred, how </w:t>
      </w:r>
      <w:r w:rsidR="00FC6813">
        <w:rPr>
          <w:rFonts w:ascii="Times New Roman" w:hAnsi="Times New Roman" w:cs="Times New Roman"/>
          <w:b/>
          <w:sz w:val="24"/>
          <w:szCs w:val="24"/>
        </w:rPr>
        <w:t>well the</w:t>
      </w:r>
      <w:r w:rsidR="0017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813">
        <w:rPr>
          <w:rFonts w:ascii="Times New Roman" w:hAnsi="Times New Roman" w:cs="Times New Roman"/>
          <w:b/>
          <w:sz w:val="24"/>
          <w:szCs w:val="24"/>
        </w:rPr>
        <w:t xml:space="preserve">spaces </w:t>
      </w:r>
      <w:r w:rsidR="001754FF">
        <w:rPr>
          <w:rFonts w:ascii="Times New Roman" w:hAnsi="Times New Roman" w:cs="Times New Roman"/>
          <w:b/>
          <w:sz w:val="24"/>
          <w:szCs w:val="24"/>
        </w:rPr>
        <w:t>were</w:t>
      </w:r>
      <w:r w:rsidR="00FC6813">
        <w:rPr>
          <w:rFonts w:ascii="Times New Roman" w:hAnsi="Times New Roman" w:cs="Times New Roman"/>
          <w:b/>
          <w:sz w:val="24"/>
          <w:szCs w:val="24"/>
        </w:rPr>
        <w:t xml:space="preserve"> used</w:t>
      </w:r>
      <w:r w:rsidR="00BB205B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1754FF">
        <w:rPr>
          <w:rFonts w:ascii="Times New Roman" w:hAnsi="Times New Roman" w:cs="Times New Roman"/>
          <w:b/>
          <w:sz w:val="24"/>
          <w:szCs w:val="24"/>
        </w:rPr>
        <w:t xml:space="preserve">nd </w:t>
      </w:r>
      <w:r w:rsidR="00FC6813">
        <w:rPr>
          <w:rFonts w:ascii="Times New Roman" w:hAnsi="Times New Roman" w:cs="Times New Roman"/>
          <w:b/>
          <w:sz w:val="24"/>
          <w:szCs w:val="24"/>
        </w:rPr>
        <w:t xml:space="preserve">the degree to which their </w:t>
      </w:r>
      <w:r w:rsidR="001754FF">
        <w:rPr>
          <w:rFonts w:ascii="Times New Roman" w:hAnsi="Times New Roman" w:cs="Times New Roman"/>
          <w:b/>
          <w:sz w:val="24"/>
          <w:szCs w:val="24"/>
        </w:rPr>
        <w:t xml:space="preserve">departments relied on </w:t>
      </w:r>
      <w:r w:rsidR="00FC6813">
        <w:rPr>
          <w:rFonts w:ascii="Times New Roman" w:hAnsi="Times New Roman" w:cs="Times New Roman"/>
          <w:b/>
          <w:sz w:val="24"/>
          <w:szCs w:val="24"/>
        </w:rPr>
        <w:t xml:space="preserve">general university </w:t>
      </w:r>
      <w:r w:rsidR="001754FF">
        <w:rPr>
          <w:rFonts w:ascii="Times New Roman" w:hAnsi="Times New Roman" w:cs="Times New Roman"/>
          <w:b/>
          <w:sz w:val="24"/>
          <w:szCs w:val="24"/>
        </w:rPr>
        <w:t xml:space="preserve">classroom </w:t>
      </w:r>
      <w:r w:rsidR="00FC6813">
        <w:rPr>
          <w:rFonts w:ascii="Times New Roman" w:hAnsi="Times New Roman" w:cs="Times New Roman"/>
          <w:b/>
          <w:sz w:val="24"/>
          <w:szCs w:val="24"/>
        </w:rPr>
        <w:t>spaces.</w:t>
      </w:r>
      <w:r w:rsidR="000A2A17">
        <w:rPr>
          <w:rFonts w:ascii="Times New Roman" w:hAnsi="Times New Roman" w:cs="Times New Roman"/>
          <w:b/>
          <w:sz w:val="24"/>
          <w:szCs w:val="24"/>
        </w:rPr>
        <w:t xml:space="preserve"> Chancellors will receive similar reports for their respective campuses.</w:t>
      </w:r>
    </w:p>
    <w:p w14:paraId="2B99A0D8" w14:textId="14C4A4A5" w:rsidR="00BA249D" w:rsidRDefault="00D7202D" w:rsidP="00F634EB">
      <w:pPr>
        <w:pStyle w:val="NormalWeb"/>
        <w:rPr>
          <w:b/>
        </w:rPr>
      </w:pPr>
      <w:r>
        <w:rPr>
          <w:b/>
          <w:u w:val="single"/>
        </w:rPr>
        <w:t xml:space="preserve">On-Going </w:t>
      </w:r>
      <w:r w:rsidR="006F1832" w:rsidRPr="006F1832">
        <w:rPr>
          <w:b/>
          <w:u w:val="single"/>
        </w:rPr>
        <w:t>Committee Work:</w:t>
      </w:r>
      <w:r w:rsidR="006F1832">
        <w:rPr>
          <w:b/>
        </w:rPr>
        <w:t xml:space="preserve">  </w:t>
      </w:r>
      <w:r w:rsidR="001D6ABB">
        <w:rPr>
          <w:b/>
        </w:rPr>
        <w:t xml:space="preserve"> </w:t>
      </w:r>
      <w:r w:rsidR="00A75E4E">
        <w:rPr>
          <w:b/>
        </w:rPr>
        <w:t>T</w:t>
      </w:r>
      <w:r w:rsidR="001D6ABB">
        <w:rPr>
          <w:b/>
        </w:rPr>
        <w:t xml:space="preserve">he Provost’s university committee </w:t>
      </w:r>
      <w:r w:rsidR="000A2A17">
        <w:rPr>
          <w:b/>
        </w:rPr>
        <w:t xml:space="preserve">is planning for the upgrade of </w:t>
      </w:r>
      <w:r w:rsidR="00FD3B97">
        <w:rPr>
          <w:b/>
        </w:rPr>
        <w:t xml:space="preserve">21 </w:t>
      </w:r>
      <w:r w:rsidR="000A2A17">
        <w:rPr>
          <w:b/>
        </w:rPr>
        <w:t>classrooms in College, Wilson and Sloan Halls starting in May 2020.  One Sloan Hall classroom will be converted to collaborative (</w:t>
      </w:r>
      <w:r w:rsidR="00B013DB">
        <w:rPr>
          <w:b/>
        </w:rPr>
        <w:t>flexible style</w:t>
      </w:r>
      <w:r w:rsidR="000A2A17">
        <w:rPr>
          <w:b/>
        </w:rPr>
        <w:t xml:space="preserve">) furnishings and equipment.  </w:t>
      </w:r>
      <w:r w:rsidR="00A75E4E">
        <w:rPr>
          <w:b/>
        </w:rPr>
        <w:t xml:space="preserve"> The committee</w:t>
      </w:r>
      <w:r w:rsidR="000C11C0">
        <w:rPr>
          <w:b/>
        </w:rPr>
        <w:t xml:space="preserve"> </w:t>
      </w:r>
      <w:r w:rsidR="00C00F5B">
        <w:rPr>
          <w:b/>
        </w:rPr>
        <w:t>monitor</w:t>
      </w:r>
      <w:r w:rsidR="00A75E4E">
        <w:rPr>
          <w:b/>
        </w:rPr>
        <w:t>s</w:t>
      </w:r>
      <w:r w:rsidR="00C00F5B">
        <w:rPr>
          <w:b/>
        </w:rPr>
        <w:t xml:space="preserve"> </w:t>
      </w:r>
      <w:r w:rsidR="006B5D0D">
        <w:rPr>
          <w:b/>
        </w:rPr>
        <w:t xml:space="preserve">changes in </w:t>
      </w:r>
      <w:r w:rsidR="00A75E4E">
        <w:rPr>
          <w:b/>
        </w:rPr>
        <w:t xml:space="preserve">room </w:t>
      </w:r>
      <w:r w:rsidR="00C00F5B">
        <w:rPr>
          <w:b/>
        </w:rPr>
        <w:t xml:space="preserve">inventory </w:t>
      </w:r>
      <w:r w:rsidR="004318BD">
        <w:rPr>
          <w:b/>
        </w:rPr>
        <w:t xml:space="preserve">to </w:t>
      </w:r>
      <w:r w:rsidR="00851BD7">
        <w:rPr>
          <w:b/>
        </w:rPr>
        <w:t>e</w:t>
      </w:r>
      <w:r w:rsidR="004318BD">
        <w:rPr>
          <w:b/>
        </w:rPr>
        <w:t>nsure it i</w:t>
      </w:r>
      <w:r w:rsidR="00D47082">
        <w:rPr>
          <w:b/>
        </w:rPr>
        <w:t>nclude</w:t>
      </w:r>
      <w:r w:rsidR="004318BD">
        <w:rPr>
          <w:b/>
        </w:rPr>
        <w:t>s</w:t>
      </w:r>
      <w:r w:rsidR="00C00F5B">
        <w:rPr>
          <w:b/>
        </w:rPr>
        <w:t xml:space="preserve"> </w:t>
      </w:r>
      <w:r w:rsidR="001209E0">
        <w:rPr>
          <w:b/>
        </w:rPr>
        <w:t xml:space="preserve">the right mix of small and large sized classrooms </w:t>
      </w:r>
      <w:r w:rsidR="00CF7F40">
        <w:rPr>
          <w:b/>
        </w:rPr>
        <w:t>and equipment</w:t>
      </w:r>
      <w:r w:rsidR="0045440E">
        <w:rPr>
          <w:b/>
        </w:rPr>
        <w:t>.</w:t>
      </w:r>
      <w:r w:rsidR="00CE2DF4">
        <w:rPr>
          <w:b/>
        </w:rPr>
        <w:t xml:space="preserve">  </w:t>
      </w:r>
      <w:r w:rsidR="001D6ABB">
        <w:rPr>
          <w:b/>
        </w:rPr>
        <w:t>Members includes faculty, staff and students.</w:t>
      </w:r>
      <w:r w:rsidR="00F634EB">
        <w:rPr>
          <w:b/>
        </w:rPr>
        <w:t xml:space="preserve">  T</w:t>
      </w:r>
      <w:r w:rsidR="00A6611B">
        <w:rPr>
          <w:b/>
        </w:rPr>
        <w:t xml:space="preserve">he committee </w:t>
      </w:r>
      <w:r w:rsidR="001D6ABB">
        <w:rPr>
          <w:b/>
        </w:rPr>
        <w:t>web</w:t>
      </w:r>
      <w:r w:rsidR="00A6611B">
        <w:rPr>
          <w:b/>
        </w:rPr>
        <w:t>site address is:</w:t>
      </w:r>
      <w:r w:rsidR="00A6611B" w:rsidRPr="006F1832">
        <w:rPr>
          <w:b/>
        </w:rPr>
        <w:t xml:space="preserve">  </w:t>
      </w:r>
      <w:hyperlink r:id="rId7" w:history="1">
        <w:r w:rsidR="00A6611B" w:rsidRPr="000E6352">
          <w:rPr>
            <w:rStyle w:val="Hyperlink"/>
            <w:b/>
          </w:rPr>
          <w:t>http://provost.wsu.edu/procedures/classrooms/</w:t>
        </w:r>
      </w:hyperlink>
      <w:r w:rsidR="00A6611B">
        <w:rPr>
          <w:b/>
        </w:rPr>
        <w:t xml:space="preserve"> </w:t>
      </w:r>
      <w:r w:rsidR="00F634EB">
        <w:rPr>
          <w:b/>
        </w:rPr>
        <w:t xml:space="preserve"> or contact</w:t>
      </w:r>
      <w:r w:rsidR="006F1832" w:rsidRPr="006F1832">
        <w:rPr>
          <w:b/>
        </w:rPr>
        <w:t>:  Deborah Carlson, Chair</w:t>
      </w:r>
      <w:r w:rsidR="006F1832">
        <w:rPr>
          <w:b/>
        </w:rPr>
        <w:t>, Provost’s General University Classroom Committee (</w:t>
      </w:r>
      <w:r w:rsidR="006F1832" w:rsidRPr="00596F7B">
        <w:rPr>
          <w:b/>
        </w:rPr>
        <w:t>335-3344, email:  dcarlson@wsu.edu.)</w:t>
      </w:r>
    </w:p>
    <w:p w14:paraId="3FBC51F0" w14:textId="77777777" w:rsidR="006F1832" w:rsidRDefault="006F1832" w:rsidP="00F27FE3">
      <w:pPr>
        <w:rPr>
          <w:rFonts w:ascii="Times New Roman" w:hAnsi="Times New Roman" w:cs="Times New Roman"/>
          <w:sz w:val="24"/>
          <w:szCs w:val="24"/>
        </w:rPr>
        <w:sectPr w:rsidR="006F1832" w:rsidSect="009F083B">
          <w:type w:val="continuous"/>
          <w:pgSz w:w="12240" w:h="15840"/>
          <w:pgMar w:top="1152" w:right="1440" w:bottom="2448" w:left="1440" w:header="720" w:footer="432" w:gutter="0"/>
          <w:cols w:num="2" w:space="180"/>
          <w:docGrid w:linePitch="360"/>
        </w:sectPr>
      </w:pPr>
    </w:p>
    <w:p w14:paraId="5A1D18C2" w14:textId="691DE97C" w:rsidR="001F0830" w:rsidRDefault="001F0830" w:rsidP="001F08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A70B47" w14:textId="520FB71B" w:rsidR="00C70369" w:rsidRDefault="00B013DB" w:rsidP="00B013DB">
      <w:pPr>
        <w:tabs>
          <w:tab w:val="left" w:pos="111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23DC069E" w14:textId="53E7B04E" w:rsidR="001F0830" w:rsidRDefault="001F0830" w:rsidP="001F08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1C2">
        <w:rPr>
          <w:rFonts w:ascii="Times New Roman" w:hAnsi="Times New Roman" w:cs="Times New Roman"/>
          <w:b/>
          <w:sz w:val="32"/>
          <w:szCs w:val="32"/>
        </w:rPr>
        <w:t>CHART A1 – How “Often” Are The Largest Rooms Scheduled?</w:t>
      </w:r>
    </w:p>
    <w:p w14:paraId="36A04B5D" w14:textId="77777777" w:rsidR="00B17929" w:rsidRDefault="00B17929" w:rsidP="00EB342E">
      <w:pPr>
        <w:rPr>
          <w:rFonts w:ascii="Times New Roman" w:hAnsi="Times New Roman" w:cs="Times New Roman"/>
        </w:rPr>
      </w:pPr>
    </w:p>
    <w:p w14:paraId="3E780D32" w14:textId="42B621B8" w:rsidR="0036655D" w:rsidRDefault="000F2D33" w:rsidP="00EB34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03863B0" wp14:editId="10208508">
            <wp:extent cx="6126480" cy="3994150"/>
            <wp:effectExtent l="0" t="0" r="7620" b="635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73C043B" w14:textId="645692ED" w:rsidR="00F27FD0" w:rsidRDefault="00F27FD0" w:rsidP="00D801C2">
      <w:pPr>
        <w:rPr>
          <w:noProof/>
        </w:rPr>
      </w:pPr>
    </w:p>
    <w:p w14:paraId="45A9AD2A" w14:textId="77777777" w:rsidR="001F0830" w:rsidRDefault="001F0830" w:rsidP="001F08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88F3F2" w14:textId="6783C857" w:rsidR="001F0830" w:rsidRDefault="001F0830" w:rsidP="001F08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</w:t>
      </w:r>
      <w:r w:rsidRPr="00D801C2">
        <w:rPr>
          <w:rFonts w:ascii="Times New Roman" w:hAnsi="Times New Roman" w:cs="Times New Roman"/>
          <w:b/>
          <w:sz w:val="32"/>
          <w:szCs w:val="32"/>
        </w:rPr>
        <w:t>HART A2-When Scheduled, How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01C2">
        <w:rPr>
          <w:rFonts w:ascii="Times New Roman" w:hAnsi="Times New Roman" w:cs="Times New Roman"/>
          <w:b/>
          <w:sz w:val="32"/>
          <w:szCs w:val="32"/>
        </w:rPr>
        <w:t>“Full” Are The Largest Rooms?</w:t>
      </w:r>
    </w:p>
    <w:p w14:paraId="51691616" w14:textId="5652822E" w:rsidR="00F27FD0" w:rsidRDefault="003C4184" w:rsidP="00D801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36590AAF" wp14:editId="40C21AA8">
            <wp:extent cx="6126480" cy="3994150"/>
            <wp:effectExtent l="0" t="0" r="7620" b="635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EF626D" w14:textId="2ECE6DC6" w:rsidR="00452362" w:rsidRDefault="00452362" w:rsidP="00EA3BC5">
      <w:pPr>
        <w:rPr>
          <w:rFonts w:ascii="Times New Roman" w:hAnsi="Times New Roman" w:cs="Times New Roman"/>
          <w:b/>
          <w:sz w:val="28"/>
          <w:szCs w:val="28"/>
        </w:rPr>
      </w:pPr>
    </w:p>
    <w:p w14:paraId="4A13B931" w14:textId="77777777" w:rsidR="00B9234A" w:rsidRDefault="00B9234A" w:rsidP="004523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930A96" w14:textId="77777777" w:rsidR="00B9234A" w:rsidRDefault="00B9234A" w:rsidP="004523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4373EA" w14:textId="77777777" w:rsidR="00B164F3" w:rsidRDefault="00B164F3" w:rsidP="00B16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F6BB48" w14:textId="13528A63" w:rsidR="00B164F3" w:rsidRPr="0052378C" w:rsidRDefault="00B164F3" w:rsidP="00B164F3">
      <w:pPr>
        <w:jc w:val="center"/>
        <w:rPr>
          <w:noProof/>
        </w:rPr>
      </w:pPr>
      <w:r w:rsidRPr="00D801C2">
        <w:rPr>
          <w:rFonts w:ascii="Times New Roman" w:hAnsi="Times New Roman" w:cs="Times New Roman"/>
          <w:b/>
          <w:sz w:val="32"/>
          <w:szCs w:val="32"/>
        </w:rPr>
        <w:t>CHART B – Fall 200</w:t>
      </w:r>
      <w:r>
        <w:rPr>
          <w:rFonts w:ascii="Times New Roman" w:hAnsi="Times New Roman" w:cs="Times New Roman"/>
          <w:b/>
          <w:sz w:val="32"/>
          <w:szCs w:val="32"/>
        </w:rPr>
        <w:t>8*</w:t>
      </w:r>
      <w:r w:rsidRPr="00D801C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C</w:t>
      </w:r>
      <w:r w:rsidRPr="00D801C2">
        <w:rPr>
          <w:rFonts w:ascii="Times New Roman" w:hAnsi="Times New Roman" w:cs="Times New Roman"/>
          <w:b/>
          <w:sz w:val="32"/>
          <w:szCs w:val="32"/>
        </w:rPr>
        <w:t>ompared to Fall 201</w:t>
      </w:r>
      <w:r w:rsidR="003F3165">
        <w:rPr>
          <w:rFonts w:ascii="Times New Roman" w:hAnsi="Times New Roman" w:cs="Times New Roman"/>
          <w:b/>
          <w:sz w:val="32"/>
          <w:szCs w:val="32"/>
        </w:rPr>
        <w:t>9</w:t>
      </w:r>
    </w:p>
    <w:p w14:paraId="4A7B7D6A" w14:textId="77777777" w:rsidR="00B164F3" w:rsidRPr="00D801C2" w:rsidRDefault="00B164F3" w:rsidP="00B164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Change </w:t>
      </w:r>
      <w:r w:rsidRPr="00D801C2">
        <w:rPr>
          <w:rFonts w:ascii="Times New Roman" w:hAnsi="Times New Roman" w:cs="Times New Roman"/>
          <w:b/>
          <w:sz w:val="32"/>
          <w:szCs w:val="32"/>
        </w:rPr>
        <w:t xml:space="preserve">In Fullness By Size of the General University Classrooms </w:t>
      </w:r>
    </w:p>
    <w:p w14:paraId="7E87378D" w14:textId="6F351FDE" w:rsidR="00B164F3" w:rsidRDefault="00B164F3" w:rsidP="00B16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4A">
        <w:rPr>
          <w:rFonts w:ascii="Times New Roman" w:hAnsi="Times New Roman" w:cs="Times New Roman"/>
          <w:b/>
          <w:sz w:val="28"/>
          <w:szCs w:val="28"/>
        </w:rPr>
        <w:t>(Room Size/Seating Capacity is the Horizontal Axis)</w:t>
      </w:r>
    </w:p>
    <w:p w14:paraId="641489DF" w14:textId="77777777" w:rsidR="001C6FF8" w:rsidRDefault="001C6FF8" w:rsidP="00B16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47947" w14:textId="1E236600" w:rsidR="00707A4B" w:rsidRDefault="003F3165" w:rsidP="004523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4F0CC3CC" wp14:editId="5822FEED">
            <wp:extent cx="6126480" cy="4364355"/>
            <wp:effectExtent l="0" t="0" r="7620" b="1714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B55F065" w14:textId="6093C6DD" w:rsidR="00B164F3" w:rsidRDefault="00B164F3" w:rsidP="004523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6623AA" w14:textId="77777777" w:rsidR="00C606D1" w:rsidRPr="0063686B" w:rsidRDefault="00C606D1" w:rsidP="0063686B">
      <w:pPr>
        <w:rPr>
          <w:rFonts w:ascii="Times New Roman" w:hAnsi="Times New Roman" w:cs="Times New Roman"/>
          <w:b/>
          <w:sz w:val="28"/>
          <w:szCs w:val="28"/>
        </w:rPr>
      </w:pPr>
    </w:p>
    <w:p w14:paraId="3AA9F5DD" w14:textId="0AA9F896" w:rsidR="00B164F3" w:rsidRPr="00A25CFC" w:rsidRDefault="00B164F3" w:rsidP="00B164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The </w:t>
      </w:r>
      <w:r w:rsidRPr="00B9234A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reshmen class in Fall 2008 was about 3,400 students and increased to 4,200 students by Fall 2015.  </w:t>
      </w:r>
      <w:r w:rsidR="00996BB6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number of new freshmen </w:t>
      </w:r>
      <w:r w:rsidR="00996BB6">
        <w:rPr>
          <w:rFonts w:ascii="Times New Roman" w:hAnsi="Times New Roman" w:cs="Times New Roman"/>
          <w:b/>
          <w:sz w:val="24"/>
          <w:szCs w:val="24"/>
        </w:rPr>
        <w:t>for Fall 2019 is 4,198</w:t>
      </w:r>
      <w:r>
        <w:rPr>
          <w:rFonts w:ascii="Times New Roman" w:hAnsi="Times New Roman" w:cs="Times New Roman"/>
          <w:b/>
          <w:sz w:val="24"/>
          <w:szCs w:val="24"/>
        </w:rPr>
        <w:t>.  The chart above compares how full classrooms were before the first large increase in new freshmen to how full the Pullman classrooms are now</w:t>
      </w:r>
      <w:r w:rsidR="00996BB6">
        <w:rPr>
          <w:rFonts w:ascii="Times New Roman" w:hAnsi="Times New Roman" w:cs="Times New Roman"/>
          <w:b/>
          <w:sz w:val="24"/>
          <w:szCs w:val="24"/>
        </w:rPr>
        <w:t xml:space="preserve"> by room size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96BB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ote that between 2008 and 201</w:t>
      </w:r>
      <w:r w:rsidR="00996BB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1,000 classroom seats were added (The SPARK).  Even with the additional seats, overall campus course section fullness has remained relatively constant.</w:t>
      </w:r>
      <w:r w:rsidR="00A8378A">
        <w:rPr>
          <w:rFonts w:ascii="Times New Roman" w:hAnsi="Times New Roman" w:cs="Times New Roman"/>
          <w:b/>
          <w:sz w:val="24"/>
          <w:szCs w:val="24"/>
        </w:rPr>
        <w:t xml:space="preserve"> Note:  This chart does not reflect unscheduled capacity, rather, only the fullness by classroom size when the rooms are scheduled.</w:t>
      </w:r>
    </w:p>
    <w:p w14:paraId="776C6B40" w14:textId="11CF8D5A" w:rsidR="001C77BE" w:rsidRDefault="001C77BE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626E7B01" w14:textId="4371AFE0" w:rsidR="00305267" w:rsidRDefault="00305267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7B750E65" w14:textId="7DA2E61C" w:rsidR="00305267" w:rsidRDefault="00305267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6D62AB51" w14:textId="6C51A839" w:rsidR="0031671C" w:rsidRDefault="0031671C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13AF80A1" w14:textId="4EE665F2" w:rsidR="0031671C" w:rsidRDefault="0031671C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77E1DD5C" w14:textId="2EF61A91" w:rsidR="0031671C" w:rsidRDefault="0031671C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3266082A" w14:textId="0F5404C8" w:rsidR="0031671C" w:rsidRDefault="0031671C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2548381C" w14:textId="77777777" w:rsidR="0031671C" w:rsidRDefault="0031671C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6DD11997" w14:textId="09CF9638" w:rsidR="00305267" w:rsidRDefault="00305267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7BC2863B" w14:textId="5E9D60A3" w:rsidR="00305267" w:rsidRDefault="00305267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56913E95" w14:textId="77777777" w:rsidR="0031671C" w:rsidRDefault="0031671C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522DE168" w14:textId="452D398A" w:rsidR="000A2A17" w:rsidRDefault="000A2A17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5A722F59" w14:textId="042E3CB0" w:rsidR="00305267" w:rsidRDefault="00305267" w:rsidP="003052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1C2">
        <w:rPr>
          <w:rFonts w:ascii="Times New Roman" w:hAnsi="Times New Roman" w:cs="Times New Roman"/>
          <w:b/>
          <w:sz w:val="32"/>
          <w:szCs w:val="32"/>
        </w:rPr>
        <w:t>CHART C1</w:t>
      </w:r>
      <w:r w:rsidRPr="00D801C2">
        <w:rPr>
          <w:rFonts w:ascii="Times New Roman" w:hAnsi="Times New Roman" w:cs="Times New Roman"/>
          <w:b/>
          <w:sz w:val="28"/>
          <w:szCs w:val="28"/>
        </w:rPr>
        <w:t>–General University Classrooms–3 Year–</w:t>
      </w:r>
      <w:r w:rsidRPr="00D801C2">
        <w:rPr>
          <w:rFonts w:ascii="Times New Roman" w:hAnsi="Times New Roman" w:cs="Times New Roman"/>
          <w:b/>
          <w:sz w:val="28"/>
          <w:szCs w:val="28"/>
          <w:u w:val="single"/>
        </w:rPr>
        <w:t>Day of the Week</w:t>
      </w:r>
    </w:p>
    <w:p w14:paraId="07A37255" w14:textId="72D86255" w:rsidR="00305267" w:rsidRDefault="00305267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31E9E8C1" w14:textId="50130ED8" w:rsidR="00305267" w:rsidRDefault="0031671C" w:rsidP="003052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062D61CB" wp14:editId="3D8A4C6E">
            <wp:extent cx="6126480" cy="4615180"/>
            <wp:effectExtent l="0" t="0" r="7620" b="1397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05267" w:rsidRPr="0030526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C10FF39" w14:textId="77777777" w:rsidR="00B44D3D" w:rsidRDefault="00B44D3D" w:rsidP="00B44D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C2704C" w14:textId="60432280" w:rsidR="00305267" w:rsidRDefault="00305267" w:rsidP="00992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C2">
        <w:rPr>
          <w:rFonts w:ascii="Times New Roman" w:hAnsi="Times New Roman" w:cs="Times New Roman"/>
          <w:b/>
          <w:sz w:val="32"/>
          <w:szCs w:val="32"/>
        </w:rPr>
        <w:t>CHART C2</w:t>
      </w:r>
      <w:r w:rsidRPr="0063686B">
        <w:rPr>
          <w:rFonts w:ascii="Times New Roman" w:hAnsi="Times New Roman" w:cs="Times New Roman"/>
          <w:b/>
          <w:sz w:val="28"/>
          <w:szCs w:val="28"/>
        </w:rPr>
        <w:t xml:space="preserve"> – General University Classrooms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B2EBB">
        <w:rPr>
          <w:rFonts w:ascii="Times New Roman" w:hAnsi="Times New Roman" w:cs="Times New Roman"/>
          <w:b/>
          <w:sz w:val="28"/>
          <w:szCs w:val="28"/>
          <w:u w:val="single"/>
        </w:rPr>
        <w:t>Time of Day</w:t>
      </w:r>
      <w:r w:rsidR="0031671C">
        <w:rPr>
          <w:noProof/>
        </w:rPr>
        <w:drawing>
          <wp:inline distT="0" distB="0" distL="0" distR="0" wp14:anchorId="43E973EB" wp14:editId="73A5D180">
            <wp:extent cx="6126480" cy="3819525"/>
            <wp:effectExtent l="0" t="0" r="7620" b="952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495EDCD" w14:textId="26D09B6E" w:rsidR="008E30A8" w:rsidRDefault="008E30A8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3A839815" w14:textId="77777777" w:rsidR="006F7A0A" w:rsidRDefault="006F7A0A" w:rsidP="008E30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FF9315" w14:textId="5C2E6690" w:rsidR="00791BCE" w:rsidRDefault="000A2A17" w:rsidP="000A2A17">
      <w:pPr>
        <w:tabs>
          <w:tab w:val="left" w:pos="5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5A6B00C8" w14:textId="18FA363D" w:rsidR="008E30A8" w:rsidRDefault="008E30A8" w:rsidP="008E3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1C2">
        <w:rPr>
          <w:rFonts w:ascii="Times New Roman" w:hAnsi="Times New Roman" w:cs="Times New Roman"/>
          <w:b/>
          <w:sz w:val="32"/>
          <w:szCs w:val="32"/>
        </w:rPr>
        <w:t>CHART D</w:t>
      </w:r>
      <w:r w:rsidRPr="0063686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9234A">
        <w:rPr>
          <w:rFonts w:ascii="Times New Roman" w:hAnsi="Times New Roman" w:cs="Times New Roman"/>
          <w:b/>
          <w:sz w:val="32"/>
          <w:szCs w:val="32"/>
        </w:rPr>
        <w:t>Pullman Campus Instructional Spaces – Fall 201</w:t>
      </w:r>
      <w:r w:rsidR="0031671C">
        <w:rPr>
          <w:rFonts w:ascii="Times New Roman" w:hAnsi="Times New Roman" w:cs="Times New Roman"/>
          <w:b/>
          <w:sz w:val="32"/>
          <w:szCs w:val="32"/>
        </w:rPr>
        <w:t>9</w:t>
      </w:r>
    </w:p>
    <w:p w14:paraId="5609E5E7" w14:textId="253ED45B" w:rsidR="008E30A8" w:rsidRDefault="008E30A8" w:rsidP="008E30A8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4A">
        <w:rPr>
          <w:rFonts w:ascii="Times New Roman" w:hAnsi="Times New Roman" w:cs="Times New Roman"/>
          <w:b/>
          <w:sz w:val="28"/>
          <w:szCs w:val="28"/>
        </w:rPr>
        <w:t>Types of Spaces and % of Scheduled Student Contact Hours in Each</w:t>
      </w:r>
      <w:r>
        <w:rPr>
          <w:rFonts w:ascii="Times New Roman" w:hAnsi="Times New Roman" w:cs="Times New Roman"/>
          <w:b/>
          <w:sz w:val="28"/>
          <w:szCs w:val="28"/>
        </w:rPr>
        <w:t xml:space="preserve"> Type</w:t>
      </w:r>
    </w:p>
    <w:p w14:paraId="76655A62" w14:textId="77777777" w:rsidR="008E30A8" w:rsidRDefault="008E30A8" w:rsidP="008E30A8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78927" w14:textId="34A8803A" w:rsidR="008E30A8" w:rsidRDefault="008E30A8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3F4C08F6" w14:textId="0E3ADDBF" w:rsidR="006F7A0A" w:rsidRDefault="006F7A0A" w:rsidP="00334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359A29C" wp14:editId="279D8C01">
            <wp:extent cx="6126480" cy="5149215"/>
            <wp:effectExtent l="0" t="0" r="7620" b="1333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A4761A9" w14:textId="0F7A54E2" w:rsidR="006F7A0A" w:rsidRDefault="006F7A0A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63171653" w14:textId="77777777" w:rsidR="006F7A0A" w:rsidRDefault="006F7A0A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4ED1E431" w14:textId="39D13E0D" w:rsidR="00305267" w:rsidRDefault="00305267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65543113" w14:textId="69EB9A44" w:rsidR="00305267" w:rsidRDefault="00305267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0E89FFEB" w14:textId="5F2B8C59" w:rsidR="00305267" w:rsidRDefault="00305267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24B41218" w14:textId="2B26DB71" w:rsidR="00305267" w:rsidRDefault="00305267" w:rsidP="0033434E">
      <w:pPr>
        <w:rPr>
          <w:rFonts w:ascii="Times New Roman" w:hAnsi="Times New Roman" w:cs="Times New Roman"/>
          <w:b/>
          <w:sz w:val="24"/>
          <w:szCs w:val="24"/>
        </w:rPr>
      </w:pPr>
    </w:p>
    <w:p w14:paraId="0CBD44C9" w14:textId="77777777" w:rsidR="00305267" w:rsidRDefault="00305267" w:rsidP="0033434E">
      <w:pPr>
        <w:rPr>
          <w:rFonts w:ascii="Times New Roman" w:hAnsi="Times New Roman" w:cs="Times New Roman"/>
          <w:b/>
          <w:sz w:val="24"/>
          <w:szCs w:val="24"/>
        </w:rPr>
      </w:pPr>
    </w:p>
    <w:sectPr w:rsidR="00305267" w:rsidSect="005E3B00">
      <w:type w:val="continuous"/>
      <w:pgSz w:w="12240" w:h="15840" w:code="1"/>
      <w:pgMar w:top="245" w:right="1440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2FCAD" w14:textId="77777777" w:rsidR="00D029B8" w:rsidRDefault="00D029B8" w:rsidP="00B7563F">
      <w:r>
        <w:separator/>
      </w:r>
    </w:p>
  </w:endnote>
  <w:endnote w:type="continuationSeparator" w:id="0">
    <w:p w14:paraId="3FA86256" w14:textId="77777777" w:rsidR="00D029B8" w:rsidRDefault="00D029B8" w:rsidP="00B7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DD1D" w14:textId="77777777" w:rsidR="00D029B8" w:rsidRDefault="00D029B8" w:rsidP="00B7563F">
      <w:r>
        <w:separator/>
      </w:r>
    </w:p>
  </w:footnote>
  <w:footnote w:type="continuationSeparator" w:id="0">
    <w:p w14:paraId="4B613B8B" w14:textId="77777777" w:rsidR="00D029B8" w:rsidRDefault="00D029B8" w:rsidP="00B7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4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A9"/>
    <w:rsid w:val="00000F67"/>
    <w:rsid w:val="00003314"/>
    <w:rsid w:val="00003496"/>
    <w:rsid w:val="00007653"/>
    <w:rsid w:val="000368AB"/>
    <w:rsid w:val="0004187C"/>
    <w:rsid w:val="00041DBC"/>
    <w:rsid w:val="00042DB7"/>
    <w:rsid w:val="00054E9F"/>
    <w:rsid w:val="00057936"/>
    <w:rsid w:val="00060E45"/>
    <w:rsid w:val="00061156"/>
    <w:rsid w:val="0006180B"/>
    <w:rsid w:val="00077C8A"/>
    <w:rsid w:val="00083047"/>
    <w:rsid w:val="00095C8E"/>
    <w:rsid w:val="000A063C"/>
    <w:rsid w:val="000A15DA"/>
    <w:rsid w:val="000A2A17"/>
    <w:rsid w:val="000B1B71"/>
    <w:rsid w:val="000B63A6"/>
    <w:rsid w:val="000C11C0"/>
    <w:rsid w:val="000C309C"/>
    <w:rsid w:val="000C421E"/>
    <w:rsid w:val="000C6E45"/>
    <w:rsid w:val="000D36F1"/>
    <w:rsid w:val="000D3EC0"/>
    <w:rsid w:val="000E3D49"/>
    <w:rsid w:val="000E582D"/>
    <w:rsid w:val="000F2D33"/>
    <w:rsid w:val="0010159E"/>
    <w:rsid w:val="001078B4"/>
    <w:rsid w:val="001134F2"/>
    <w:rsid w:val="00114F53"/>
    <w:rsid w:val="0011679F"/>
    <w:rsid w:val="001209E0"/>
    <w:rsid w:val="0012426B"/>
    <w:rsid w:val="00127035"/>
    <w:rsid w:val="00137E92"/>
    <w:rsid w:val="00150E5B"/>
    <w:rsid w:val="00153A8D"/>
    <w:rsid w:val="00155315"/>
    <w:rsid w:val="00166711"/>
    <w:rsid w:val="001754FF"/>
    <w:rsid w:val="0017592A"/>
    <w:rsid w:val="00175B3D"/>
    <w:rsid w:val="001862A1"/>
    <w:rsid w:val="001952F9"/>
    <w:rsid w:val="001A0C5A"/>
    <w:rsid w:val="001A1C75"/>
    <w:rsid w:val="001A2964"/>
    <w:rsid w:val="001A4432"/>
    <w:rsid w:val="001B2EBB"/>
    <w:rsid w:val="001B7B14"/>
    <w:rsid w:val="001C6FF8"/>
    <w:rsid w:val="001C73BC"/>
    <w:rsid w:val="001C77BE"/>
    <w:rsid w:val="001D130D"/>
    <w:rsid w:val="001D5470"/>
    <w:rsid w:val="001D6ABB"/>
    <w:rsid w:val="001D6FE9"/>
    <w:rsid w:val="001F0830"/>
    <w:rsid w:val="001F101F"/>
    <w:rsid w:val="001F7B08"/>
    <w:rsid w:val="002004C0"/>
    <w:rsid w:val="00203F0C"/>
    <w:rsid w:val="00221887"/>
    <w:rsid w:val="0022556E"/>
    <w:rsid w:val="00226363"/>
    <w:rsid w:val="00244067"/>
    <w:rsid w:val="002443EE"/>
    <w:rsid w:val="002468C7"/>
    <w:rsid w:val="00247C2E"/>
    <w:rsid w:val="002523C5"/>
    <w:rsid w:val="00262087"/>
    <w:rsid w:val="0027261F"/>
    <w:rsid w:val="0027371E"/>
    <w:rsid w:val="00277DCB"/>
    <w:rsid w:val="00277E8C"/>
    <w:rsid w:val="00284A66"/>
    <w:rsid w:val="00292695"/>
    <w:rsid w:val="00293807"/>
    <w:rsid w:val="002A1030"/>
    <w:rsid w:val="002A366F"/>
    <w:rsid w:val="002A4BA5"/>
    <w:rsid w:val="002B559C"/>
    <w:rsid w:val="002C2DA9"/>
    <w:rsid w:val="002E393B"/>
    <w:rsid w:val="002E3A17"/>
    <w:rsid w:val="002F202C"/>
    <w:rsid w:val="002F2916"/>
    <w:rsid w:val="002F66C0"/>
    <w:rsid w:val="00305267"/>
    <w:rsid w:val="0031671C"/>
    <w:rsid w:val="00327305"/>
    <w:rsid w:val="00330878"/>
    <w:rsid w:val="0033215F"/>
    <w:rsid w:val="0033434E"/>
    <w:rsid w:val="0034084E"/>
    <w:rsid w:val="00342054"/>
    <w:rsid w:val="0034428A"/>
    <w:rsid w:val="00345930"/>
    <w:rsid w:val="00352D9C"/>
    <w:rsid w:val="00356D24"/>
    <w:rsid w:val="00364DD1"/>
    <w:rsid w:val="00365F04"/>
    <w:rsid w:val="0036618C"/>
    <w:rsid w:val="0036655D"/>
    <w:rsid w:val="003705B7"/>
    <w:rsid w:val="003724A0"/>
    <w:rsid w:val="00375C16"/>
    <w:rsid w:val="00377E6A"/>
    <w:rsid w:val="00377F29"/>
    <w:rsid w:val="00383D13"/>
    <w:rsid w:val="00390198"/>
    <w:rsid w:val="003967D5"/>
    <w:rsid w:val="00397695"/>
    <w:rsid w:val="003A7918"/>
    <w:rsid w:val="003B51FC"/>
    <w:rsid w:val="003B7E23"/>
    <w:rsid w:val="003C0408"/>
    <w:rsid w:val="003C305D"/>
    <w:rsid w:val="003C4184"/>
    <w:rsid w:val="003C7265"/>
    <w:rsid w:val="003D6592"/>
    <w:rsid w:val="003E0876"/>
    <w:rsid w:val="003E528C"/>
    <w:rsid w:val="003E7055"/>
    <w:rsid w:val="003E75B4"/>
    <w:rsid w:val="003F28A0"/>
    <w:rsid w:val="003F3165"/>
    <w:rsid w:val="003F3661"/>
    <w:rsid w:val="003F5760"/>
    <w:rsid w:val="003F5E84"/>
    <w:rsid w:val="00405EB3"/>
    <w:rsid w:val="0040725E"/>
    <w:rsid w:val="0041045E"/>
    <w:rsid w:val="00420BFA"/>
    <w:rsid w:val="00423834"/>
    <w:rsid w:val="004318BD"/>
    <w:rsid w:val="0044097D"/>
    <w:rsid w:val="00441A21"/>
    <w:rsid w:val="0044545D"/>
    <w:rsid w:val="00447A71"/>
    <w:rsid w:val="00452362"/>
    <w:rsid w:val="0045316D"/>
    <w:rsid w:val="0045440E"/>
    <w:rsid w:val="00474F2F"/>
    <w:rsid w:val="0047517F"/>
    <w:rsid w:val="00475568"/>
    <w:rsid w:val="0048566A"/>
    <w:rsid w:val="00491130"/>
    <w:rsid w:val="00495C03"/>
    <w:rsid w:val="004A767E"/>
    <w:rsid w:val="004B10F5"/>
    <w:rsid w:val="004B15F6"/>
    <w:rsid w:val="004B7C9A"/>
    <w:rsid w:val="004C22F3"/>
    <w:rsid w:val="004C6FFC"/>
    <w:rsid w:val="004C79F4"/>
    <w:rsid w:val="004E02AD"/>
    <w:rsid w:val="004E103A"/>
    <w:rsid w:val="004E2E14"/>
    <w:rsid w:val="004F7E6B"/>
    <w:rsid w:val="005066CB"/>
    <w:rsid w:val="005149C1"/>
    <w:rsid w:val="00515F7D"/>
    <w:rsid w:val="00521599"/>
    <w:rsid w:val="00521A17"/>
    <w:rsid w:val="00522459"/>
    <w:rsid w:val="0052564E"/>
    <w:rsid w:val="0053359A"/>
    <w:rsid w:val="00541AEE"/>
    <w:rsid w:val="00546454"/>
    <w:rsid w:val="00553E37"/>
    <w:rsid w:val="0055783F"/>
    <w:rsid w:val="00557FD1"/>
    <w:rsid w:val="00575A5A"/>
    <w:rsid w:val="005775C6"/>
    <w:rsid w:val="00577C63"/>
    <w:rsid w:val="0058219B"/>
    <w:rsid w:val="00587B0D"/>
    <w:rsid w:val="00587F5D"/>
    <w:rsid w:val="00596F7B"/>
    <w:rsid w:val="005A0EB0"/>
    <w:rsid w:val="005B4013"/>
    <w:rsid w:val="005B60D1"/>
    <w:rsid w:val="005E3B00"/>
    <w:rsid w:val="005F0BE1"/>
    <w:rsid w:val="00612586"/>
    <w:rsid w:val="00612B41"/>
    <w:rsid w:val="00615E01"/>
    <w:rsid w:val="00616300"/>
    <w:rsid w:val="006171AD"/>
    <w:rsid w:val="00622AB7"/>
    <w:rsid w:val="0062342A"/>
    <w:rsid w:val="00625B83"/>
    <w:rsid w:val="00631F5B"/>
    <w:rsid w:val="006349DF"/>
    <w:rsid w:val="0063686B"/>
    <w:rsid w:val="00637651"/>
    <w:rsid w:val="006443FF"/>
    <w:rsid w:val="00646EB3"/>
    <w:rsid w:val="006504BD"/>
    <w:rsid w:val="006535B9"/>
    <w:rsid w:val="00672034"/>
    <w:rsid w:val="00672453"/>
    <w:rsid w:val="00672E3B"/>
    <w:rsid w:val="0068137A"/>
    <w:rsid w:val="006901FC"/>
    <w:rsid w:val="006944FD"/>
    <w:rsid w:val="006B2939"/>
    <w:rsid w:val="006B5D0D"/>
    <w:rsid w:val="006B698D"/>
    <w:rsid w:val="006C4172"/>
    <w:rsid w:val="006C5850"/>
    <w:rsid w:val="006D578C"/>
    <w:rsid w:val="006E0E6F"/>
    <w:rsid w:val="006E4653"/>
    <w:rsid w:val="006E7629"/>
    <w:rsid w:val="006F1832"/>
    <w:rsid w:val="006F7A0A"/>
    <w:rsid w:val="007009AF"/>
    <w:rsid w:val="00701088"/>
    <w:rsid w:val="0070551A"/>
    <w:rsid w:val="00706753"/>
    <w:rsid w:val="00707A4B"/>
    <w:rsid w:val="00714AA0"/>
    <w:rsid w:val="007251CA"/>
    <w:rsid w:val="00732E3C"/>
    <w:rsid w:val="00735152"/>
    <w:rsid w:val="007401E9"/>
    <w:rsid w:val="0075742F"/>
    <w:rsid w:val="00773DAD"/>
    <w:rsid w:val="00782708"/>
    <w:rsid w:val="00782CC9"/>
    <w:rsid w:val="00791BCE"/>
    <w:rsid w:val="007A1F6C"/>
    <w:rsid w:val="007A50E0"/>
    <w:rsid w:val="007A69E1"/>
    <w:rsid w:val="007A6CAE"/>
    <w:rsid w:val="007B1A17"/>
    <w:rsid w:val="007B5D99"/>
    <w:rsid w:val="007D2751"/>
    <w:rsid w:val="007D3FAA"/>
    <w:rsid w:val="007D581A"/>
    <w:rsid w:val="007D6644"/>
    <w:rsid w:val="007E3B79"/>
    <w:rsid w:val="007F3FCF"/>
    <w:rsid w:val="007F68FB"/>
    <w:rsid w:val="00801687"/>
    <w:rsid w:val="008204FA"/>
    <w:rsid w:val="00832893"/>
    <w:rsid w:val="008420C0"/>
    <w:rsid w:val="00844026"/>
    <w:rsid w:val="00851BD7"/>
    <w:rsid w:val="00877829"/>
    <w:rsid w:val="00886150"/>
    <w:rsid w:val="008870D5"/>
    <w:rsid w:val="00891A37"/>
    <w:rsid w:val="00894703"/>
    <w:rsid w:val="00895F5C"/>
    <w:rsid w:val="008B2BEB"/>
    <w:rsid w:val="008C021D"/>
    <w:rsid w:val="008D746F"/>
    <w:rsid w:val="008E30A8"/>
    <w:rsid w:val="008F0E92"/>
    <w:rsid w:val="008F1CA0"/>
    <w:rsid w:val="008F52F5"/>
    <w:rsid w:val="00917A02"/>
    <w:rsid w:val="00934038"/>
    <w:rsid w:val="009438D1"/>
    <w:rsid w:val="00944DCC"/>
    <w:rsid w:val="0094623A"/>
    <w:rsid w:val="00953DD2"/>
    <w:rsid w:val="00957D62"/>
    <w:rsid w:val="009617AC"/>
    <w:rsid w:val="00965D6C"/>
    <w:rsid w:val="00975946"/>
    <w:rsid w:val="00975E07"/>
    <w:rsid w:val="00976CAF"/>
    <w:rsid w:val="00983AB6"/>
    <w:rsid w:val="00983BF3"/>
    <w:rsid w:val="00992E1A"/>
    <w:rsid w:val="009933ED"/>
    <w:rsid w:val="00996BB6"/>
    <w:rsid w:val="009A10E9"/>
    <w:rsid w:val="009B64AD"/>
    <w:rsid w:val="009D7389"/>
    <w:rsid w:val="009D7D8F"/>
    <w:rsid w:val="009E0B6C"/>
    <w:rsid w:val="009E23A2"/>
    <w:rsid w:val="009F083B"/>
    <w:rsid w:val="009F1376"/>
    <w:rsid w:val="009F3849"/>
    <w:rsid w:val="00A00983"/>
    <w:rsid w:val="00A06B4B"/>
    <w:rsid w:val="00A104CA"/>
    <w:rsid w:val="00A1319D"/>
    <w:rsid w:val="00A211D9"/>
    <w:rsid w:val="00A27526"/>
    <w:rsid w:val="00A30590"/>
    <w:rsid w:val="00A3167C"/>
    <w:rsid w:val="00A32AD8"/>
    <w:rsid w:val="00A36022"/>
    <w:rsid w:val="00A36665"/>
    <w:rsid w:val="00A41A7C"/>
    <w:rsid w:val="00A43047"/>
    <w:rsid w:val="00A552C7"/>
    <w:rsid w:val="00A57C27"/>
    <w:rsid w:val="00A64216"/>
    <w:rsid w:val="00A6611B"/>
    <w:rsid w:val="00A7100D"/>
    <w:rsid w:val="00A75E4E"/>
    <w:rsid w:val="00A7735C"/>
    <w:rsid w:val="00A8378A"/>
    <w:rsid w:val="00A85459"/>
    <w:rsid w:val="00A85943"/>
    <w:rsid w:val="00A90C3C"/>
    <w:rsid w:val="00A910A8"/>
    <w:rsid w:val="00A93FAD"/>
    <w:rsid w:val="00A94A8A"/>
    <w:rsid w:val="00AB165A"/>
    <w:rsid w:val="00AB2C8C"/>
    <w:rsid w:val="00AC095A"/>
    <w:rsid w:val="00AC6BA0"/>
    <w:rsid w:val="00AC75D3"/>
    <w:rsid w:val="00AD4488"/>
    <w:rsid w:val="00AE3C1E"/>
    <w:rsid w:val="00AE78E3"/>
    <w:rsid w:val="00AF4518"/>
    <w:rsid w:val="00AF6458"/>
    <w:rsid w:val="00B013DB"/>
    <w:rsid w:val="00B05EBC"/>
    <w:rsid w:val="00B164F3"/>
    <w:rsid w:val="00B17929"/>
    <w:rsid w:val="00B3110D"/>
    <w:rsid w:val="00B43F7A"/>
    <w:rsid w:val="00B44D3D"/>
    <w:rsid w:val="00B50319"/>
    <w:rsid w:val="00B54225"/>
    <w:rsid w:val="00B56368"/>
    <w:rsid w:val="00B7563F"/>
    <w:rsid w:val="00B86686"/>
    <w:rsid w:val="00B913EF"/>
    <w:rsid w:val="00B9234A"/>
    <w:rsid w:val="00BA0884"/>
    <w:rsid w:val="00BA249D"/>
    <w:rsid w:val="00BB205B"/>
    <w:rsid w:val="00BC58A2"/>
    <w:rsid w:val="00BD6400"/>
    <w:rsid w:val="00BE14F2"/>
    <w:rsid w:val="00BE7127"/>
    <w:rsid w:val="00C00F5B"/>
    <w:rsid w:val="00C033FA"/>
    <w:rsid w:val="00C03ADF"/>
    <w:rsid w:val="00C1093D"/>
    <w:rsid w:val="00C3756D"/>
    <w:rsid w:val="00C4343F"/>
    <w:rsid w:val="00C45527"/>
    <w:rsid w:val="00C54141"/>
    <w:rsid w:val="00C606D1"/>
    <w:rsid w:val="00C60CC5"/>
    <w:rsid w:val="00C614E3"/>
    <w:rsid w:val="00C64774"/>
    <w:rsid w:val="00C70369"/>
    <w:rsid w:val="00C744C4"/>
    <w:rsid w:val="00C82B93"/>
    <w:rsid w:val="00C9230B"/>
    <w:rsid w:val="00CB33FC"/>
    <w:rsid w:val="00CC3D49"/>
    <w:rsid w:val="00CC6F90"/>
    <w:rsid w:val="00CC7E69"/>
    <w:rsid w:val="00CE2DF4"/>
    <w:rsid w:val="00CE2E10"/>
    <w:rsid w:val="00CF6FFE"/>
    <w:rsid w:val="00CF7F40"/>
    <w:rsid w:val="00D029B8"/>
    <w:rsid w:val="00D1727F"/>
    <w:rsid w:val="00D17585"/>
    <w:rsid w:val="00D23910"/>
    <w:rsid w:val="00D34246"/>
    <w:rsid w:val="00D351E0"/>
    <w:rsid w:val="00D36AA3"/>
    <w:rsid w:val="00D371E6"/>
    <w:rsid w:val="00D41FFE"/>
    <w:rsid w:val="00D43DDB"/>
    <w:rsid w:val="00D47082"/>
    <w:rsid w:val="00D5477C"/>
    <w:rsid w:val="00D560B4"/>
    <w:rsid w:val="00D63688"/>
    <w:rsid w:val="00D66B91"/>
    <w:rsid w:val="00D7202D"/>
    <w:rsid w:val="00D72DF2"/>
    <w:rsid w:val="00D801C2"/>
    <w:rsid w:val="00D82EF2"/>
    <w:rsid w:val="00D8359F"/>
    <w:rsid w:val="00D842B7"/>
    <w:rsid w:val="00D877BC"/>
    <w:rsid w:val="00D91FA9"/>
    <w:rsid w:val="00D92A72"/>
    <w:rsid w:val="00D94A52"/>
    <w:rsid w:val="00D95F37"/>
    <w:rsid w:val="00DA7395"/>
    <w:rsid w:val="00DB1199"/>
    <w:rsid w:val="00DB4906"/>
    <w:rsid w:val="00DB7C22"/>
    <w:rsid w:val="00DC2B44"/>
    <w:rsid w:val="00DC7B2F"/>
    <w:rsid w:val="00DD0026"/>
    <w:rsid w:val="00DD086E"/>
    <w:rsid w:val="00DE3624"/>
    <w:rsid w:val="00DE3B9F"/>
    <w:rsid w:val="00E00F74"/>
    <w:rsid w:val="00E01905"/>
    <w:rsid w:val="00E077B3"/>
    <w:rsid w:val="00E1547B"/>
    <w:rsid w:val="00E164DB"/>
    <w:rsid w:val="00E25C66"/>
    <w:rsid w:val="00E265D9"/>
    <w:rsid w:val="00E413BE"/>
    <w:rsid w:val="00E528B8"/>
    <w:rsid w:val="00E57329"/>
    <w:rsid w:val="00E73268"/>
    <w:rsid w:val="00E7523F"/>
    <w:rsid w:val="00E83665"/>
    <w:rsid w:val="00E96F3E"/>
    <w:rsid w:val="00EA04F8"/>
    <w:rsid w:val="00EA265C"/>
    <w:rsid w:val="00EA3BC5"/>
    <w:rsid w:val="00EA7E28"/>
    <w:rsid w:val="00EB0232"/>
    <w:rsid w:val="00EB1D6F"/>
    <w:rsid w:val="00EB342E"/>
    <w:rsid w:val="00EC6BE9"/>
    <w:rsid w:val="00EC79C2"/>
    <w:rsid w:val="00ED0A14"/>
    <w:rsid w:val="00ED2047"/>
    <w:rsid w:val="00EE4CE6"/>
    <w:rsid w:val="00EE6EC1"/>
    <w:rsid w:val="00EE728B"/>
    <w:rsid w:val="00F10796"/>
    <w:rsid w:val="00F21ED8"/>
    <w:rsid w:val="00F23E9B"/>
    <w:rsid w:val="00F27FD0"/>
    <w:rsid w:val="00F27FE3"/>
    <w:rsid w:val="00F371BD"/>
    <w:rsid w:val="00F52EE0"/>
    <w:rsid w:val="00F53FA4"/>
    <w:rsid w:val="00F606F7"/>
    <w:rsid w:val="00F634EB"/>
    <w:rsid w:val="00F6518B"/>
    <w:rsid w:val="00F87BB6"/>
    <w:rsid w:val="00FA7777"/>
    <w:rsid w:val="00FB1032"/>
    <w:rsid w:val="00FC4F2C"/>
    <w:rsid w:val="00FC6813"/>
    <w:rsid w:val="00FD2A51"/>
    <w:rsid w:val="00FD3B97"/>
    <w:rsid w:val="00FE327E"/>
    <w:rsid w:val="00FE3DEB"/>
    <w:rsid w:val="00FE43F4"/>
    <w:rsid w:val="00FE6F86"/>
    <w:rsid w:val="00FE6F97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6ECB394"/>
  <w15:docId w15:val="{7858D9F1-330D-42D0-84CF-DAB35549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63F"/>
  </w:style>
  <w:style w:type="paragraph" w:styleId="Footer">
    <w:name w:val="footer"/>
    <w:basedOn w:val="Normal"/>
    <w:link w:val="FooterChar"/>
    <w:uiPriority w:val="99"/>
    <w:unhideWhenUsed/>
    <w:rsid w:val="00B7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3F"/>
  </w:style>
  <w:style w:type="table" w:styleId="TableGrid">
    <w:name w:val="Table Grid"/>
    <w:basedOn w:val="TableNormal"/>
    <w:uiPriority w:val="59"/>
    <w:rsid w:val="007D3F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B49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A7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43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hyperlink" Target="http://provost.wsu.edu/procedures/classrooms/" TargetMode="Externa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Largest Classrooms (Over 200 Seats)</a:t>
            </a:r>
          </a:p>
          <a:p>
            <a:pPr>
              <a:defRPr/>
            </a:pPr>
            <a:r>
              <a:rPr lang="en-US" sz="1600" b="0"/>
              <a:t>Hours</a:t>
            </a:r>
            <a:r>
              <a:rPr lang="en-US" sz="1600" b="0" baseline="0"/>
              <a:t> Scheduled - Fall 2018 to Fall 2019</a:t>
            </a:r>
            <a:endParaRPr lang="en-US" sz="14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'ChartA1-A2'!$B$1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'ChartA1-A2'!$A$2:$A$10</c:f>
              <c:strCache>
                <c:ptCount val="9"/>
                <c:pt idx="0">
                  <c:v>Johnson C107 (211 Seats)</c:v>
                </c:pt>
                <c:pt idx="1">
                  <c:v>Todd 130 (241 Seats)</c:v>
                </c:pt>
                <c:pt idx="2">
                  <c:v>Smith Center 203 (245 Seats)</c:v>
                </c:pt>
                <c:pt idx="3">
                  <c:v>Webster 16 (248 Seats)</c:v>
                </c:pt>
                <c:pt idx="4">
                  <c:v>Heald G3 (253 Seats)</c:v>
                </c:pt>
                <c:pt idx="5">
                  <c:v>Cleveland 30 (254 Seats)</c:v>
                </c:pt>
                <c:pt idx="6">
                  <c:v>The Spark G45 (270 Seats)</c:v>
                </c:pt>
                <c:pt idx="7">
                  <c:v>Fulmer Annex 226 (352 Seats)</c:v>
                </c:pt>
                <c:pt idx="8">
                  <c:v>Todd 116 (539 Seats)</c:v>
                </c:pt>
              </c:strCache>
            </c:strRef>
          </c:cat>
          <c:val>
            <c:numRef>
              <c:f>'ChartA1-A2'!$B$2:$B$10</c:f>
              <c:numCache>
                <c:formatCode>General</c:formatCode>
                <c:ptCount val="9"/>
                <c:pt idx="0">
                  <c:v>31</c:v>
                </c:pt>
                <c:pt idx="1">
                  <c:v>39</c:v>
                </c:pt>
                <c:pt idx="2">
                  <c:v>39</c:v>
                </c:pt>
                <c:pt idx="3">
                  <c:v>42</c:v>
                </c:pt>
                <c:pt idx="4">
                  <c:v>32</c:v>
                </c:pt>
                <c:pt idx="6">
                  <c:v>41</c:v>
                </c:pt>
                <c:pt idx="7">
                  <c:v>35</c:v>
                </c:pt>
                <c:pt idx="8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FF-4DA2-8AEF-6662F65CEBA6}"/>
            </c:ext>
          </c:extLst>
        </c:ser>
        <c:ser>
          <c:idx val="1"/>
          <c:order val="1"/>
          <c:tx>
            <c:strRef>
              <c:f>'ChartA1-A2'!$C$1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'ChartA1-A2'!$A$2:$A$10</c:f>
              <c:strCache>
                <c:ptCount val="9"/>
                <c:pt idx="0">
                  <c:v>Johnson C107 (211 Seats)</c:v>
                </c:pt>
                <c:pt idx="1">
                  <c:v>Todd 130 (241 Seats)</c:v>
                </c:pt>
                <c:pt idx="2">
                  <c:v>Smith Center 203 (245 Seats)</c:v>
                </c:pt>
                <c:pt idx="3">
                  <c:v>Webster 16 (248 Seats)</c:v>
                </c:pt>
                <c:pt idx="4">
                  <c:v>Heald G3 (253 Seats)</c:v>
                </c:pt>
                <c:pt idx="5">
                  <c:v>Cleveland 30 (254 Seats)</c:v>
                </c:pt>
                <c:pt idx="6">
                  <c:v>The Spark G45 (270 Seats)</c:v>
                </c:pt>
                <c:pt idx="7">
                  <c:v>Fulmer Annex 226 (352 Seats)</c:v>
                </c:pt>
                <c:pt idx="8">
                  <c:v>Todd 116 (539 Seats)</c:v>
                </c:pt>
              </c:strCache>
            </c:strRef>
          </c:cat>
          <c:val>
            <c:numRef>
              <c:f>'ChartA1-A2'!$C$2:$C$10</c:f>
              <c:numCache>
                <c:formatCode>General</c:formatCode>
                <c:ptCount val="9"/>
                <c:pt idx="0">
                  <c:v>34</c:v>
                </c:pt>
                <c:pt idx="1">
                  <c:v>38</c:v>
                </c:pt>
                <c:pt idx="2">
                  <c:v>39</c:v>
                </c:pt>
                <c:pt idx="3">
                  <c:v>39</c:v>
                </c:pt>
                <c:pt idx="4">
                  <c:v>32</c:v>
                </c:pt>
                <c:pt idx="5">
                  <c:v>37</c:v>
                </c:pt>
                <c:pt idx="6">
                  <c:v>41</c:v>
                </c:pt>
                <c:pt idx="7">
                  <c:v>35</c:v>
                </c:pt>
                <c:pt idx="8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FF-4DA2-8AEF-6662F65CEB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5"/>
        <c:axId val="375847216"/>
        <c:axId val="375844304"/>
      </c:barChart>
      <c:catAx>
        <c:axId val="37584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5844304"/>
        <c:crosses val="autoZero"/>
        <c:auto val="1"/>
        <c:lblAlgn val="ctr"/>
        <c:lblOffset val="100"/>
        <c:noMultiLvlLbl val="0"/>
      </c:catAx>
      <c:valAx>
        <c:axId val="375844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584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Largest Classrooms (Over 200 Seats)</a:t>
            </a:r>
          </a:p>
          <a:p>
            <a:pPr>
              <a:defRPr/>
            </a:pPr>
            <a:r>
              <a:rPr lang="en-US" sz="1600" b="0"/>
              <a:t>CLASS Fullness Utilization - Fall 2018 to Fall 2019</a:t>
            </a:r>
          </a:p>
          <a:p>
            <a:pPr>
              <a:defRPr/>
            </a:pPr>
            <a:r>
              <a:rPr lang="en-US" sz="1200" b="0"/>
              <a:t>Standard</a:t>
            </a:r>
            <a:r>
              <a:rPr lang="en-US" sz="1200" b="0" baseline="0"/>
              <a:t> is 66.67% Occupied when Scheduled</a:t>
            </a:r>
            <a:endParaRPr lang="en-US" sz="11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'ChartA1-A2'!$D$1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'ChartA1-A2'!$A$2:$A$10</c:f>
              <c:strCache>
                <c:ptCount val="9"/>
                <c:pt idx="0">
                  <c:v>Johnson C107 (211 Seats)</c:v>
                </c:pt>
                <c:pt idx="1">
                  <c:v>Todd 130 (241 Seats)</c:v>
                </c:pt>
                <c:pt idx="2">
                  <c:v>Smith Center 203 (245 Seats)</c:v>
                </c:pt>
                <c:pt idx="3">
                  <c:v>Webster 16 (248 Seats)</c:v>
                </c:pt>
                <c:pt idx="4">
                  <c:v>Heald G3 (253 Seats)</c:v>
                </c:pt>
                <c:pt idx="5">
                  <c:v>Cleveland 30 (254 Seats)</c:v>
                </c:pt>
                <c:pt idx="6">
                  <c:v>The Spark G45 (270 Seats)</c:v>
                </c:pt>
                <c:pt idx="7">
                  <c:v>Fulmer Annex 226 (352 Seats)</c:v>
                </c:pt>
                <c:pt idx="8">
                  <c:v>Todd 116 (539 Seats)</c:v>
                </c:pt>
              </c:strCache>
            </c:strRef>
          </c:cat>
          <c:val>
            <c:numRef>
              <c:f>'ChartA1-A2'!$D$2:$D$10</c:f>
              <c:numCache>
                <c:formatCode>0%</c:formatCode>
                <c:ptCount val="9"/>
                <c:pt idx="0">
                  <c:v>0.67</c:v>
                </c:pt>
                <c:pt idx="1">
                  <c:v>0.7</c:v>
                </c:pt>
                <c:pt idx="2">
                  <c:v>0.7</c:v>
                </c:pt>
                <c:pt idx="3">
                  <c:v>0.68</c:v>
                </c:pt>
                <c:pt idx="4">
                  <c:v>0.53</c:v>
                </c:pt>
                <c:pt idx="6">
                  <c:v>0.65</c:v>
                </c:pt>
                <c:pt idx="7">
                  <c:v>0.66</c:v>
                </c:pt>
                <c:pt idx="8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00-46B9-902B-D66255FD12E5}"/>
            </c:ext>
          </c:extLst>
        </c:ser>
        <c:ser>
          <c:idx val="1"/>
          <c:order val="1"/>
          <c:tx>
            <c:strRef>
              <c:f>'ChartA1-A2'!$E$1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'ChartA1-A2'!$A$2:$A$10</c:f>
              <c:strCache>
                <c:ptCount val="9"/>
                <c:pt idx="0">
                  <c:v>Johnson C107 (211 Seats)</c:v>
                </c:pt>
                <c:pt idx="1">
                  <c:v>Todd 130 (241 Seats)</c:v>
                </c:pt>
                <c:pt idx="2">
                  <c:v>Smith Center 203 (245 Seats)</c:v>
                </c:pt>
                <c:pt idx="3">
                  <c:v>Webster 16 (248 Seats)</c:v>
                </c:pt>
                <c:pt idx="4">
                  <c:v>Heald G3 (253 Seats)</c:v>
                </c:pt>
                <c:pt idx="5">
                  <c:v>Cleveland 30 (254 Seats)</c:v>
                </c:pt>
                <c:pt idx="6">
                  <c:v>The Spark G45 (270 Seats)</c:v>
                </c:pt>
                <c:pt idx="7">
                  <c:v>Fulmer Annex 226 (352 Seats)</c:v>
                </c:pt>
                <c:pt idx="8">
                  <c:v>Todd 116 (539 Seats)</c:v>
                </c:pt>
              </c:strCache>
            </c:strRef>
          </c:cat>
          <c:val>
            <c:numRef>
              <c:f>'ChartA1-A2'!$E$2:$E$10</c:f>
              <c:numCache>
                <c:formatCode>0%</c:formatCode>
                <c:ptCount val="9"/>
                <c:pt idx="0">
                  <c:v>0.64</c:v>
                </c:pt>
                <c:pt idx="1">
                  <c:v>0.61</c:v>
                </c:pt>
                <c:pt idx="2">
                  <c:v>0.74</c:v>
                </c:pt>
                <c:pt idx="3">
                  <c:v>0.69</c:v>
                </c:pt>
                <c:pt idx="4">
                  <c:v>0.72</c:v>
                </c:pt>
                <c:pt idx="5">
                  <c:v>0.45</c:v>
                </c:pt>
                <c:pt idx="6">
                  <c:v>0.59</c:v>
                </c:pt>
                <c:pt idx="7">
                  <c:v>0.82</c:v>
                </c:pt>
                <c:pt idx="8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00-46B9-902B-D66255FD1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5"/>
        <c:axId val="375847216"/>
        <c:axId val="375844304"/>
      </c:barChart>
      <c:catAx>
        <c:axId val="37584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5844304"/>
        <c:crosses val="autoZero"/>
        <c:auto val="1"/>
        <c:lblAlgn val="ctr"/>
        <c:lblOffset val="100"/>
        <c:noMultiLvlLbl val="0"/>
      </c:catAx>
      <c:valAx>
        <c:axId val="375844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584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Classroom Size Groups-Pullman</a:t>
            </a:r>
          </a:p>
          <a:p>
            <a:pPr>
              <a:defRPr/>
            </a:pPr>
            <a:r>
              <a:rPr lang="en-US"/>
              <a:t>Scheduled CLASS Fullness</a:t>
            </a:r>
            <a:r>
              <a:rPr lang="en-US" baseline="0"/>
              <a:t> Utilization - Fall 2008 vs Fall 2019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2008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ChartB!$A$2:$A$11</c:f>
              <c:strCache>
                <c:ptCount val="10"/>
                <c:pt idx="0">
                  <c:v> 0-19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60-74</c:v>
                </c:pt>
                <c:pt idx="6">
                  <c:v>75-99</c:v>
                </c:pt>
                <c:pt idx="7">
                  <c:v>100-149</c:v>
                </c:pt>
                <c:pt idx="8">
                  <c:v>150-249</c:v>
                </c:pt>
                <c:pt idx="9">
                  <c:v>250 +</c:v>
                </c:pt>
              </c:strCache>
            </c:strRef>
          </c:cat>
          <c:val>
            <c:numRef>
              <c:f>ChartB!$B$2:$B$11</c:f>
              <c:numCache>
                <c:formatCode>0%</c:formatCode>
                <c:ptCount val="10"/>
                <c:pt idx="0">
                  <c:v>0.53</c:v>
                </c:pt>
                <c:pt idx="1">
                  <c:v>0.64</c:v>
                </c:pt>
                <c:pt idx="2">
                  <c:v>0.65</c:v>
                </c:pt>
                <c:pt idx="3">
                  <c:v>0.64</c:v>
                </c:pt>
                <c:pt idx="4">
                  <c:v>0.65</c:v>
                </c:pt>
                <c:pt idx="5">
                  <c:v>0.69</c:v>
                </c:pt>
                <c:pt idx="6">
                  <c:v>0.77</c:v>
                </c:pt>
                <c:pt idx="7">
                  <c:v>0.68</c:v>
                </c:pt>
                <c:pt idx="8">
                  <c:v>0.67</c:v>
                </c:pt>
                <c:pt idx="9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22-4A59-AB98-B3564A337318}"/>
            </c:ext>
          </c:extLst>
        </c:ser>
        <c:ser>
          <c:idx val="1"/>
          <c:order val="1"/>
          <c:tx>
            <c:v>2019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ChartB!$A$2:$A$11</c:f>
              <c:strCache>
                <c:ptCount val="10"/>
                <c:pt idx="0">
                  <c:v> 0-19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60-74</c:v>
                </c:pt>
                <c:pt idx="6">
                  <c:v>75-99</c:v>
                </c:pt>
                <c:pt idx="7">
                  <c:v>100-149</c:v>
                </c:pt>
                <c:pt idx="8">
                  <c:v>150-249</c:v>
                </c:pt>
                <c:pt idx="9">
                  <c:v>250 +</c:v>
                </c:pt>
              </c:strCache>
            </c:strRef>
          </c:cat>
          <c:val>
            <c:numRef>
              <c:f>ChartB!$C$2:$C$11</c:f>
              <c:numCache>
                <c:formatCode>0%</c:formatCode>
                <c:ptCount val="10"/>
                <c:pt idx="0">
                  <c:v>0.64049999999999996</c:v>
                </c:pt>
                <c:pt idx="1">
                  <c:v>0.72060000000000002</c:v>
                </c:pt>
                <c:pt idx="2">
                  <c:v>0.66056521739130403</c:v>
                </c:pt>
                <c:pt idx="3">
                  <c:v>0.60670370370370397</c:v>
                </c:pt>
                <c:pt idx="4">
                  <c:v>0.56411111111111101</c:v>
                </c:pt>
                <c:pt idx="5">
                  <c:v>0.60124999999999995</c:v>
                </c:pt>
                <c:pt idx="6">
                  <c:v>0.66283333333333305</c:v>
                </c:pt>
                <c:pt idx="7">
                  <c:v>0.68079999999999996</c:v>
                </c:pt>
                <c:pt idx="8">
                  <c:v>0.68333333333333302</c:v>
                </c:pt>
                <c:pt idx="9">
                  <c:v>0.66159999999999997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22-4A59-AB98-B3564A337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5"/>
        <c:axId val="388814976"/>
        <c:axId val="388814560"/>
      </c:barChart>
      <c:catAx>
        <c:axId val="38881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8814560"/>
        <c:crosses val="autoZero"/>
        <c:auto val="1"/>
        <c:lblAlgn val="ctr"/>
        <c:lblOffset val="100"/>
        <c:noMultiLvlLbl val="0"/>
      </c:catAx>
      <c:valAx>
        <c:axId val="388814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8814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Washington State</a:t>
            </a:r>
            <a:r>
              <a:rPr lang="en-US" baseline="0"/>
              <a:t> University - Pullman</a:t>
            </a:r>
          </a:p>
          <a:p>
            <a:pPr>
              <a:defRPr/>
            </a:pPr>
            <a:r>
              <a:rPr lang="en-US" baseline="0"/>
              <a:t>Time Utilization By Day - Fall 2019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ChartC1!$A$2</c:f>
              <c:strCache>
                <c:ptCount val="1"/>
                <c:pt idx="0">
                  <c:v>Fall 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ChartC1!$B$1:$F$1</c:f>
              <c:strCache>
                <c:ptCount val="5"/>
                <c:pt idx="0">
                  <c:v>Mon</c:v>
                </c:pt>
                <c:pt idx="1">
                  <c:v>Tues</c:v>
                </c:pt>
                <c:pt idx="2">
                  <c:v>Wed</c:v>
                </c:pt>
                <c:pt idx="3">
                  <c:v>Thur</c:v>
                </c:pt>
                <c:pt idx="4">
                  <c:v>Fri</c:v>
                </c:pt>
              </c:strCache>
            </c:strRef>
          </c:cat>
          <c:val>
            <c:numRef>
              <c:f>ChartC1!$B$2:$F$2</c:f>
              <c:numCache>
                <c:formatCode>0%</c:formatCode>
                <c:ptCount val="5"/>
                <c:pt idx="0">
                  <c:v>0.62</c:v>
                </c:pt>
                <c:pt idx="1">
                  <c:v>0.68</c:v>
                </c:pt>
                <c:pt idx="2">
                  <c:v>0.66</c:v>
                </c:pt>
                <c:pt idx="3">
                  <c:v>0.68</c:v>
                </c:pt>
                <c:pt idx="4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70-438A-B48F-7F97A8926034}"/>
            </c:ext>
          </c:extLst>
        </c:ser>
        <c:ser>
          <c:idx val="1"/>
          <c:order val="1"/>
          <c:tx>
            <c:strRef>
              <c:f>ChartC1!$A$3</c:f>
              <c:strCache>
                <c:ptCount val="1"/>
                <c:pt idx="0">
                  <c:v>Fall 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ChartC1!$B$1:$F$1</c:f>
              <c:strCache>
                <c:ptCount val="5"/>
                <c:pt idx="0">
                  <c:v>Mon</c:v>
                </c:pt>
                <c:pt idx="1">
                  <c:v>Tues</c:v>
                </c:pt>
                <c:pt idx="2">
                  <c:v>Wed</c:v>
                </c:pt>
                <c:pt idx="3">
                  <c:v>Thur</c:v>
                </c:pt>
                <c:pt idx="4">
                  <c:v>Fri</c:v>
                </c:pt>
              </c:strCache>
            </c:strRef>
          </c:cat>
          <c:val>
            <c:numRef>
              <c:f>ChartC1!$B$3:$F$3</c:f>
              <c:numCache>
                <c:formatCode>0%</c:formatCode>
                <c:ptCount val="5"/>
                <c:pt idx="0">
                  <c:v>0.61</c:v>
                </c:pt>
                <c:pt idx="1">
                  <c:v>0.72</c:v>
                </c:pt>
                <c:pt idx="2">
                  <c:v>0.65</c:v>
                </c:pt>
                <c:pt idx="3">
                  <c:v>0.72</c:v>
                </c:pt>
                <c:pt idx="4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70-438A-B48F-7F97A8926034}"/>
            </c:ext>
          </c:extLst>
        </c:ser>
        <c:ser>
          <c:idx val="2"/>
          <c:order val="2"/>
          <c:tx>
            <c:strRef>
              <c:f>ChartC1!$A$4</c:f>
              <c:strCache>
                <c:ptCount val="1"/>
                <c:pt idx="0">
                  <c:v>Fall 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ChartC1!$B$1:$F$1</c:f>
              <c:strCache>
                <c:ptCount val="5"/>
                <c:pt idx="0">
                  <c:v>Mon</c:v>
                </c:pt>
                <c:pt idx="1">
                  <c:v>Tues</c:v>
                </c:pt>
                <c:pt idx="2">
                  <c:v>Wed</c:v>
                </c:pt>
                <c:pt idx="3">
                  <c:v>Thur</c:v>
                </c:pt>
                <c:pt idx="4">
                  <c:v>Fri</c:v>
                </c:pt>
              </c:strCache>
            </c:strRef>
          </c:cat>
          <c:val>
            <c:numRef>
              <c:f>ChartC1!$B$4:$F$4</c:f>
              <c:numCache>
                <c:formatCode>0%</c:formatCode>
                <c:ptCount val="5"/>
                <c:pt idx="0">
                  <c:v>0.63</c:v>
                </c:pt>
                <c:pt idx="1">
                  <c:v>0.83</c:v>
                </c:pt>
                <c:pt idx="2">
                  <c:v>0.7</c:v>
                </c:pt>
                <c:pt idx="3">
                  <c:v>0.79</c:v>
                </c:pt>
                <c:pt idx="4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70-438A-B48F-7F97A89260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5"/>
        <c:axId val="615031392"/>
        <c:axId val="615032640"/>
      </c:barChart>
      <c:catAx>
        <c:axId val="61503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5032640"/>
        <c:crosses val="autoZero"/>
        <c:auto val="1"/>
        <c:lblAlgn val="ctr"/>
        <c:lblOffset val="100"/>
        <c:noMultiLvlLbl val="0"/>
      </c:catAx>
      <c:valAx>
        <c:axId val="61503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5031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Time Utilization By</a:t>
            </a:r>
            <a:r>
              <a:rPr lang="en-US" baseline="0"/>
              <a:t> Hour - Fall 2019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ChartC2!$C$1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ChartC2!$A$2:$A$10</c:f>
              <c:strCache>
                <c:ptCount val="9"/>
                <c:pt idx="0">
                  <c:v>8:10</c:v>
                </c:pt>
                <c:pt idx="1">
                  <c:v>9:10</c:v>
                </c:pt>
                <c:pt idx="2">
                  <c:v>10:10</c:v>
                </c:pt>
                <c:pt idx="3">
                  <c:v>11:10</c:v>
                </c:pt>
                <c:pt idx="4">
                  <c:v>12:10</c:v>
                </c:pt>
                <c:pt idx="5">
                  <c:v>1:10</c:v>
                </c:pt>
                <c:pt idx="6">
                  <c:v>2:10</c:v>
                </c:pt>
                <c:pt idx="7">
                  <c:v>3:10</c:v>
                </c:pt>
                <c:pt idx="8">
                  <c:v>4:10</c:v>
                </c:pt>
              </c:strCache>
            </c:strRef>
          </c:cat>
          <c:val>
            <c:numRef>
              <c:f>ChartC2!$C$2:$C$10</c:f>
              <c:numCache>
                <c:formatCode>0%</c:formatCode>
                <c:ptCount val="9"/>
                <c:pt idx="0">
                  <c:v>0.17</c:v>
                </c:pt>
                <c:pt idx="1">
                  <c:v>0.84</c:v>
                </c:pt>
                <c:pt idx="2">
                  <c:v>0.89</c:v>
                </c:pt>
                <c:pt idx="3">
                  <c:v>0.52</c:v>
                </c:pt>
                <c:pt idx="4">
                  <c:v>0.755</c:v>
                </c:pt>
                <c:pt idx="5">
                  <c:v>0.92</c:v>
                </c:pt>
                <c:pt idx="6">
                  <c:v>0.70499999999999996</c:v>
                </c:pt>
                <c:pt idx="7">
                  <c:v>0.27</c:v>
                </c:pt>
                <c:pt idx="8">
                  <c:v>0.115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00-40F1-8B6A-A14B5FBCEC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5"/>
        <c:axId val="466443360"/>
        <c:axId val="466443776"/>
      </c:barChart>
      <c:catAx>
        <c:axId val="46644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6443776"/>
        <c:crosses val="autoZero"/>
        <c:auto val="1"/>
        <c:lblAlgn val="ctr"/>
        <c:lblOffset val="100"/>
        <c:noMultiLvlLbl val="0"/>
      </c:catAx>
      <c:valAx>
        <c:axId val="46644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6443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Student Contact Hours by Type of Space</a:t>
            </a:r>
          </a:p>
          <a:p>
            <a:pPr>
              <a:defRPr/>
            </a:pPr>
            <a:r>
              <a:rPr lang="en-US" b="1"/>
              <a:t>Fall</a:t>
            </a:r>
            <a:r>
              <a:rPr lang="en-US" b="1" baseline="0"/>
              <a:t> 2019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ChartD!$B$1</c:f>
              <c:strCache>
                <c:ptCount val="1"/>
                <c:pt idx="0">
                  <c:v>ContactHrs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6A4-41D7-982A-D9A962391CA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A4-41D7-982A-D9A962391CA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6A4-41D7-982A-D9A962391CA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6A4-41D7-982A-D9A962391CA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6A4-41D7-982A-D9A962391CA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6A4-41D7-982A-D9A962391CA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69077CF3-7E80-4FBB-A813-46744C4B9842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ADA45308-30CF-4322-8071-AA527117FB75}" type="VALUE">
                      <a:rPr lang="en-US" baseline="0"/>
                      <a:pPr/>
                      <a:t>[VALUE]</a:t>
                    </a:fld>
                    <a:endParaRPr lang="en-US" baseline="0"/>
                  </a:p>
                  <a:p>
                    <a:r>
                      <a:rPr lang="en-US" baseline="0"/>
                      <a:t>134 scheduled of 134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6A4-41D7-982A-D9A962391CAE}"/>
                </c:ext>
              </c:extLst>
            </c:dLbl>
            <c:dLbl>
              <c:idx val="1"/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0A2BA93-ACF5-425D-BDE9-D8526D2C1DD4}" type="CATEGORYNAME">
                      <a:rPr lang="en-US"/>
                      <a:pPr>
                        <a:defRPr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, </a:t>
                    </a:r>
                    <a:fld id="{3303C10B-4E6E-4015-AE68-5DE45B7C7A0B}" type="VALUE">
                      <a:rPr lang="en-US" baseline="0"/>
                      <a:pPr>
                        <a:defRPr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defRPr>
                      </a:pPr>
                      <a:t>[VALUE]</a:t>
                    </a:fld>
                    <a:r>
                      <a:rPr lang="en-US" baseline="0"/>
                      <a:t> </a:t>
                    </a:r>
                  </a:p>
                  <a:p>
                    <a:pPr>
                      <a:defRPr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defRPr>
                    </a:pPr>
                    <a:r>
                      <a:rPr lang="en-US" baseline="0"/>
                      <a:t> 57 scheduled of 82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6A4-41D7-982A-D9A962391CAE}"/>
                </c:ext>
              </c:extLst>
            </c:dLbl>
            <c:dLbl>
              <c:idx val="2"/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1A2AAD5-B144-4CDB-BC9F-6DD2BE8DEEF8}" type="CATEGORYNAME">
                      <a:rPr lang="en-US"/>
                      <a:pPr>
                        <a:defRPr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, </a:t>
                    </a:r>
                    <a:fld id="{1A1843D6-0E3E-4B56-942F-5E204AD3444C}" type="VALUE">
                      <a:rPr lang="en-US" baseline="0"/>
                      <a:pPr>
                        <a:defRPr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defRPr>
                      </a:pPr>
                      <a:t>[VALUE]</a:t>
                    </a:fld>
                    <a:endParaRPr lang="en-US" baseline="0"/>
                  </a:p>
                  <a:p>
                    <a:pPr>
                      <a:defRPr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defRPr>
                    </a:pPr>
                    <a:r>
                      <a:rPr lang="en-US" baseline="0"/>
                      <a:t>91 scheduled of 139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6A4-41D7-982A-D9A962391CAE}"/>
                </c:ext>
              </c:extLst>
            </c:dLbl>
            <c:dLbl>
              <c:idx val="5"/>
              <c:layout>
                <c:manualLayout>
                  <c:x val="7.9110761807759111E-2"/>
                  <c:y val="1.907086808377587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217661691542288"/>
                      <c:h val="6.158589221852262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E6A4-41D7-982A-D9A962391C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ChartD!$A$2:$A$7</c:f>
              <c:strCache>
                <c:ptCount val="6"/>
                <c:pt idx="0">
                  <c:v>GUC Classrooms</c:v>
                </c:pt>
                <c:pt idx="1">
                  <c:v>Dept Classrooms</c:v>
                </c:pt>
                <c:pt idx="2">
                  <c:v>Class Labs</c:v>
                </c:pt>
                <c:pt idx="3">
                  <c:v>Open Labs</c:v>
                </c:pt>
                <c:pt idx="4">
                  <c:v>Conference Rooms</c:v>
                </c:pt>
                <c:pt idx="5">
                  <c:v>Non Library Study</c:v>
                </c:pt>
              </c:strCache>
            </c:strRef>
          </c:cat>
          <c:val>
            <c:numRef>
              <c:f>ChartD!$C$2:$C$7</c:f>
              <c:numCache>
                <c:formatCode>0.00%</c:formatCode>
                <c:ptCount val="6"/>
                <c:pt idx="0">
                  <c:v>0.76461827133290894</c:v>
                </c:pt>
                <c:pt idx="1">
                  <c:v>7.3171059200220365E-2</c:v>
                </c:pt>
                <c:pt idx="2">
                  <c:v>0.13055619631268184</c:v>
                </c:pt>
                <c:pt idx="3">
                  <c:v>3.15078067170474E-2</c:v>
                </c:pt>
                <c:pt idx="4">
                  <c:v>6.1971734003546178E-6</c:v>
                </c:pt>
                <c:pt idx="5">
                  <c:v>1.4046926374137133E-4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6A4-41D7-982A-D9A962391C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B02E-6B0A-44A9-8736-8878329C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Carlson, Deborah Suzanne Lovel</dc:creator>
  <cp:lastModifiedBy>Carlson, Deborah Suzanne Lovel</cp:lastModifiedBy>
  <cp:revision>2</cp:revision>
  <cp:lastPrinted>2019-11-25T20:22:00Z</cp:lastPrinted>
  <dcterms:created xsi:type="dcterms:W3CDTF">2019-11-26T16:55:00Z</dcterms:created>
  <dcterms:modified xsi:type="dcterms:W3CDTF">2019-11-26T16:55:00Z</dcterms:modified>
</cp:coreProperties>
</file>